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B7" w:rsidRPr="000658B7" w:rsidRDefault="000658B7" w:rsidP="004C37FE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658B7">
        <w:rPr>
          <w:rFonts w:ascii="Times New Roman" w:eastAsia="Calibri" w:hAnsi="Times New Roman" w:cs="Times New Roman"/>
          <w:kern w:val="0"/>
          <w:sz w:val="28"/>
          <w:szCs w:val="28"/>
        </w:rPr>
        <w:t>проект</w:t>
      </w:r>
    </w:p>
    <w:tbl>
      <w:tblPr>
        <w:tblStyle w:val="1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26"/>
      </w:tblGrid>
      <w:tr w:rsidR="000658B7" w:rsidRPr="000658B7" w:rsidTr="00DB23D9">
        <w:tc>
          <w:tcPr>
            <w:tcW w:w="4672" w:type="dxa"/>
          </w:tcPr>
          <w:p w:rsidR="000658B7" w:rsidRPr="000658B7" w:rsidRDefault="000658B7" w:rsidP="004C37FE">
            <w:pPr>
              <w:ind w:right="311"/>
              <w:jc w:val="center"/>
              <w:rPr>
                <w:rFonts w:eastAsia="Calibri" w:cs="Times New Roman"/>
                <w:szCs w:val="28"/>
              </w:rPr>
            </w:pPr>
            <w:r w:rsidRPr="000658B7">
              <w:rPr>
                <w:rFonts w:eastAsia="Calibri" w:cs="Times New Roman"/>
                <w:szCs w:val="28"/>
              </w:rPr>
      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      </w:r>
          </w:p>
          <w:p w:rsidR="000658B7" w:rsidRPr="000658B7" w:rsidRDefault="000658B7" w:rsidP="004C37FE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826" w:type="dxa"/>
          </w:tcPr>
          <w:p w:rsidR="000658B7" w:rsidRPr="000658B7" w:rsidRDefault="00DB23D9" w:rsidP="004C37FE">
            <w:pPr>
              <w:ind w:left="40" w:right="-261"/>
              <w:rPr>
                <w:rFonts w:eastAsia="Calibri" w:cs="Times New Roman"/>
                <w:szCs w:val="28"/>
              </w:rPr>
            </w:pPr>
            <w:r w:rsidRPr="00DB23D9">
              <w:rPr>
                <w:rFonts w:eastAsia="Calibri" w:cs="Times New Roman"/>
                <w:szCs w:val="28"/>
              </w:rPr>
              <w:t>ПРИНЯТО</w:t>
            </w:r>
          </w:p>
          <w:p w:rsidR="000658B7" w:rsidRPr="000658B7" w:rsidRDefault="000658B7" w:rsidP="004C37FE">
            <w:pPr>
              <w:ind w:left="40" w:right="-261"/>
              <w:rPr>
                <w:rFonts w:eastAsia="Calibri" w:cs="Times New Roman"/>
                <w:szCs w:val="28"/>
              </w:rPr>
            </w:pPr>
            <w:r w:rsidRPr="000658B7">
              <w:rPr>
                <w:rFonts w:eastAsia="Calibri" w:cs="Times New Roman"/>
                <w:szCs w:val="28"/>
              </w:rPr>
              <w:t>решением Ученого совета</w:t>
            </w:r>
          </w:p>
          <w:p w:rsidR="000658B7" w:rsidRPr="000658B7" w:rsidRDefault="000658B7" w:rsidP="004C37FE">
            <w:pPr>
              <w:ind w:left="40" w:right="-261"/>
              <w:rPr>
                <w:rFonts w:eastAsia="Calibri" w:cs="Times New Roman"/>
                <w:szCs w:val="28"/>
              </w:rPr>
            </w:pPr>
            <w:r w:rsidRPr="000658B7">
              <w:rPr>
                <w:rFonts w:eastAsia="Calibri" w:cs="Times New Roman"/>
                <w:szCs w:val="28"/>
              </w:rPr>
              <w:t>ФГАОУ ВО «СГЭУ»</w:t>
            </w:r>
          </w:p>
          <w:p w:rsidR="000658B7" w:rsidRPr="000658B7" w:rsidRDefault="000658B7" w:rsidP="004C37FE">
            <w:pPr>
              <w:ind w:left="40" w:right="-261"/>
              <w:rPr>
                <w:rFonts w:eastAsia="Calibri" w:cs="Times New Roman"/>
                <w:szCs w:val="28"/>
              </w:rPr>
            </w:pPr>
            <w:r w:rsidRPr="000658B7">
              <w:rPr>
                <w:rFonts w:eastAsia="Calibri" w:cs="Times New Roman"/>
                <w:szCs w:val="28"/>
              </w:rPr>
              <w:t>протокол №__ от «__» ____</w:t>
            </w:r>
            <w:r w:rsidRPr="00DB23D9">
              <w:rPr>
                <w:rFonts w:eastAsia="Calibri" w:cs="Times New Roman"/>
                <w:szCs w:val="28"/>
              </w:rPr>
              <w:t>_2025</w:t>
            </w:r>
            <w:r w:rsidRPr="000658B7">
              <w:rPr>
                <w:rFonts w:eastAsia="Calibri" w:cs="Times New Roman"/>
                <w:szCs w:val="28"/>
              </w:rPr>
              <w:t xml:space="preserve"> г.</w:t>
            </w:r>
          </w:p>
          <w:p w:rsidR="000658B7" w:rsidRPr="000658B7" w:rsidRDefault="000658B7" w:rsidP="004C37FE">
            <w:pPr>
              <w:ind w:left="40" w:right="-261"/>
              <w:rPr>
                <w:rFonts w:eastAsia="Calibri" w:cs="Times New Roman"/>
                <w:szCs w:val="28"/>
              </w:rPr>
            </w:pPr>
          </w:p>
          <w:p w:rsidR="000658B7" w:rsidRPr="000658B7" w:rsidRDefault="000658B7" w:rsidP="004C37FE">
            <w:pPr>
              <w:ind w:left="40" w:right="-261"/>
              <w:rPr>
                <w:rFonts w:eastAsia="Calibri" w:cs="Times New Roman"/>
                <w:szCs w:val="28"/>
              </w:rPr>
            </w:pPr>
            <w:r w:rsidRPr="00DB23D9">
              <w:rPr>
                <w:rFonts w:eastAsia="Calibri" w:cs="Times New Roman"/>
                <w:szCs w:val="28"/>
              </w:rPr>
              <w:t>И.о.</w:t>
            </w:r>
            <w:r w:rsidRPr="000658B7">
              <w:rPr>
                <w:rFonts w:eastAsia="Calibri" w:cs="Times New Roman"/>
                <w:szCs w:val="28"/>
              </w:rPr>
              <w:t xml:space="preserve"> ректора ____ Е.А. Кандрашина</w:t>
            </w:r>
          </w:p>
          <w:p w:rsidR="000658B7" w:rsidRPr="000658B7" w:rsidRDefault="000658B7" w:rsidP="004C37FE">
            <w:pPr>
              <w:ind w:left="40" w:right="-261"/>
              <w:rPr>
                <w:rFonts w:eastAsia="Calibri" w:cs="Times New Roman"/>
                <w:szCs w:val="28"/>
              </w:rPr>
            </w:pPr>
            <w:r w:rsidRPr="000658B7">
              <w:rPr>
                <w:rFonts w:eastAsia="Calibri" w:cs="Times New Roman"/>
                <w:szCs w:val="28"/>
              </w:rPr>
              <w:t>Приказ № ___от «___» _____ 202</w:t>
            </w:r>
            <w:r w:rsidRPr="00DB23D9">
              <w:rPr>
                <w:rFonts w:eastAsia="Calibri" w:cs="Times New Roman"/>
                <w:szCs w:val="28"/>
              </w:rPr>
              <w:t>5</w:t>
            </w:r>
            <w:r w:rsidRPr="000658B7">
              <w:rPr>
                <w:rFonts w:eastAsia="Calibri" w:cs="Times New Roman"/>
                <w:szCs w:val="28"/>
              </w:rPr>
              <w:t xml:space="preserve"> г.</w:t>
            </w:r>
          </w:p>
        </w:tc>
      </w:tr>
    </w:tbl>
    <w:p w:rsidR="000658B7" w:rsidRPr="000658B7" w:rsidRDefault="000658B7" w:rsidP="004C37FE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0658B7" w:rsidRPr="00DB23D9" w:rsidRDefault="000658B7" w:rsidP="004C37FE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0658B7" w:rsidRPr="000658B7" w:rsidRDefault="000658B7" w:rsidP="00C34C1E">
      <w:pPr>
        <w:spacing w:after="0" w:line="240" w:lineRule="auto"/>
        <w:ind w:right="496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658B7">
        <w:rPr>
          <w:rFonts w:ascii="Times New Roman" w:eastAsia="Calibri" w:hAnsi="Times New Roman" w:cs="Times New Roman"/>
          <w:b/>
          <w:kern w:val="0"/>
          <w:sz w:val="28"/>
          <w:szCs w:val="28"/>
        </w:rPr>
        <w:t>Положение</w:t>
      </w:r>
    </w:p>
    <w:p w:rsidR="000658B7" w:rsidRDefault="000658B7" w:rsidP="00C34C1E">
      <w:pPr>
        <w:spacing w:after="0" w:line="240" w:lineRule="auto"/>
        <w:ind w:right="496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0658B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о </w:t>
      </w:r>
      <w:r w:rsidRPr="00DB23D9">
        <w:rPr>
          <w:rFonts w:ascii="Times New Roman" w:eastAsia="Calibri" w:hAnsi="Times New Roman" w:cs="Times New Roman"/>
          <w:b/>
          <w:kern w:val="0"/>
          <w:sz w:val="28"/>
          <w:szCs w:val="28"/>
        </w:rPr>
        <w:t>проведении самообследования в федеральном государственном автономном</w:t>
      </w:r>
      <w:r w:rsidRPr="000658B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образовательно</w:t>
      </w:r>
      <w:r w:rsidRPr="00DB23D9">
        <w:rPr>
          <w:rFonts w:ascii="Times New Roman" w:eastAsia="Calibri" w:hAnsi="Times New Roman" w:cs="Times New Roman"/>
          <w:b/>
          <w:kern w:val="0"/>
          <w:sz w:val="28"/>
          <w:szCs w:val="28"/>
        </w:rPr>
        <w:t>м</w:t>
      </w:r>
      <w:r w:rsidRPr="000658B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учреждени</w:t>
      </w:r>
      <w:r w:rsidR="00E160DE">
        <w:rPr>
          <w:rFonts w:ascii="Times New Roman" w:eastAsia="Calibri" w:hAnsi="Times New Roman" w:cs="Times New Roman"/>
          <w:b/>
          <w:kern w:val="0"/>
          <w:sz w:val="28"/>
          <w:szCs w:val="28"/>
        </w:rPr>
        <w:t>и</w:t>
      </w:r>
      <w:r w:rsidRPr="000658B7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высшего образования «Самарский государственный экономический университет»</w:t>
      </w:r>
    </w:p>
    <w:p w:rsidR="00B93928" w:rsidRDefault="00B93928" w:rsidP="00B9392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Toc190655222"/>
    </w:p>
    <w:p w:rsidR="00B93928" w:rsidRPr="00B93928" w:rsidRDefault="00B93928" w:rsidP="00B93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3928">
        <w:rPr>
          <w:rFonts w:ascii="Times New Roman" w:hAnsi="Times New Roman" w:cs="Times New Roman"/>
          <w:b/>
          <w:sz w:val="28"/>
        </w:rPr>
        <w:t>1. Общие положения</w:t>
      </w:r>
      <w:bookmarkEnd w:id="0"/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Настоящее Положение является локальным</w:t>
      </w:r>
      <w:r w:rsidR="00C34C1E">
        <w:rPr>
          <w:rFonts w:ascii="Times New Roman" w:hAnsi="Times New Roman" w:cs="Times New Roman"/>
          <w:sz w:val="28"/>
          <w:szCs w:val="28"/>
        </w:rPr>
        <w:t xml:space="preserve"> </w:t>
      </w:r>
      <w:r w:rsidRPr="00DB23D9">
        <w:rPr>
          <w:rFonts w:ascii="Times New Roman" w:hAnsi="Times New Roman" w:cs="Times New Roman"/>
          <w:sz w:val="28"/>
          <w:szCs w:val="28"/>
        </w:rPr>
        <w:t>нормативным актом  федерального государственного автономного образовательного учреждения  высшего образования «Самарский государственный экономический университет» (ФГАОУ ВО «СГЭУ») (далее –Университет), определяющим цел</w:t>
      </w:r>
      <w:r w:rsidR="002076B0">
        <w:rPr>
          <w:rFonts w:ascii="Times New Roman" w:hAnsi="Times New Roman" w:cs="Times New Roman"/>
          <w:sz w:val="28"/>
          <w:szCs w:val="28"/>
        </w:rPr>
        <w:t>ь, задачи,</w:t>
      </w:r>
      <w:r w:rsidR="00C34C1E">
        <w:rPr>
          <w:rFonts w:ascii="Times New Roman" w:hAnsi="Times New Roman" w:cs="Times New Roman"/>
          <w:sz w:val="28"/>
          <w:szCs w:val="28"/>
        </w:rPr>
        <w:t xml:space="preserve"> сроки, этапы, </w:t>
      </w:r>
      <w:r w:rsidRPr="00DB23D9">
        <w:rPr>
          <w:rFonts w:ascii="Times New Roman" w:hAnsi="Times New Roman" w:cs="Times New Roman"/>
          <w:sz w:val="28"/>
          <w:szCs w:val="28"/>
        </w:rPr>
        <w:t>порядок проведения</w:t>
      </w:r>
      <w:r w:rsidR="00C34C1E">
        <w:rPr>
          <w:rFonts w:ascii="Times New Roman" w:hAnsi="Times New Roman" w:cs="Times New Roman"/>
          <w:sz w:val="28"/>
          <w:szCs w:val="28"/>
        </w:rPr>
        <w:t xml:space="preserve"> </w:t>
      </w:r>
      <w:r w:rsidRPr="00DB23D9">
        <w:rPr>
          <w:rFonts w:ascii="Times New Roman" w:hAnsi="Times New Roman" w:cs="Times New Roman"/>
          <w:sz w:val="28"/>
          <w:szCs w:val="28"/>
        </w:rPr>
        <w:t xml:space="preserve">самообследования, обобщения результатов и их учета в дальнейшей деятельности </w:t>
      </w:r>
      <w:r w:rsidR="00634FE5">
        <w:rPr>
          <w:rFonts w:ascii="Times New Roman" w:hAnsi="Times New Roman" w:cs="Times New Roman"/>
          <w:sz w:val="28"/>
          <w:szCs w:val="28"/>
        </w:rPr>
        <w:t>У</w:t>
      </w:r>
      <w:r w:rsidRPr="00DB23D9">
        <w:rPr>
          <w:rFonts w:ascii="Times New Roman" w:hAnsi="Times New Roman" w:cs="Times New Roman"/>
          <w:sz w:val="28"/>
          <w:szCs w:val="28"/>
        </w:rPr>
        <w:t xml:space="preserve">ниверситета, требования к структуре и содержанию отчета о результатах самообследования, порядку его рассмотрения, утверждения и размещения в информационно-телекоммуникационной сети «Интернет» на официальном сайте Университета. 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Требования настоящего По</w:t>
      </w:r>
      <w:r>
        <w:rPr>
          <w:rFonts w:ascii="Times New Roman" w:hAnsi="Times New Roman" w:cs="Times New Roman"/>
          <w:sz w:val="28"/>
          <w:szCs w:val="28"/>
        </w:rPr>
        <w:t>ложения распространяются на все</w:t>
      </w:r>
      <w:r w:rsidRPr="00DB23D9">
        <w:rPr>
          <w:rFonts w:ascii="Times New Roman" w:hAnsi="Times New Roman" w:cs="Times New Roman"/>
          <w:sz w:val="28"/>
          <w:szCs w:val="28"/>
        </w:rPr>
        <w:t xml:space="preserve"> структурные подразделения Университета, обеспечивающие подготовку отчета о результатах самообследования по соответствующим направлениям деятельности.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Настоящее Положение, а также изменения и дополнения, принимаются решением Ученого совета Университета.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следующими нормативно-правовыми документами: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г. № 273-ФЗ «Об образовании в Российской Федерации»;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23D9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 октября 2021 г. № 1802 «Об утверждении Правил размещения на официальном сайте образовательной организации в информаци</w:t>
      </w:r>
      <w:r w:rsidR="00EC553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B23D9">
        <w:rPr>
          <w:rFonts w:ascii="Times New Roman" w:hAnsi="Times New Roman" w:cs="Times New Roman"/>
          <w:sz w:val="28"/>
          <w:szCs w:val="28"/>
        </w:rPr>
        <w:t xml:space="preserve"> и обновления информации об образовательной организации, а </w:t>
      </w:r>
      <w:r w:rsidRPr="00DB23D9">
        <w:rPr>
          <w:rFonts w:ascii="Times New Roman" w:hAnsi="Times New Roman" w:cs="Times New Roman"/>
          <w:sz w:val="28"/>
          <w:szCs w:val="28"/>
        </w:rPr>
        <w:lastRenderedPageBreak/>
        <w:t xml:space="preserve">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23D9">
        <w:rPr>
          <w:rFonts w:ascii="Times New Roman" w:hAnsi="Times New Roman" w:cs="Times New Roman"/>
          <w:sz w:val="28"/>
          <w:szCs w:val="28"/>
        </w:rPr>
        <w:t xml:space="preserve">риказом Минобрнауки России от 14 июня 2013 г. № 462 (ред. от 14.12.2017) «Об утверждении Порядка проведения самообследования образовательной организацией»;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23D9">
        <w:rPr>
          <w:rFonts w:ascii="Times New Roman" w:hAnsi="Times New Roman" w:cs="Times New Roman"/>
          <w:sz w:val="28"/>
          <w:szCs w:val="28"/>
        </w:rPr>
        <w:t xml:space="preserve">риказом Минобрнауки России от 10 декабря 2013 г. № 1324 (ред. от 15.02.2017, с изм. от 06.05.2022) «Об утверждении показателей деятельности образовательной организации, подлежащей самообследованию»;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23D9">
        <w:rPr>
          <w:rFonts w:ascii="Times New Roman" w:hAnsi="Times New Roman" w:cs="Times New Roman"/>
          <w:sz w:val="28"/>
          <w:szCs w:val="28"/>
        </w:rPr>
        <w:t xml:space="preserve">исьмом Минобрнауки России от 15 февраля 2018 г. № 05-436 «О методических рекомендациях» (вместе с «Методическими рекомендациями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бакалавриата, программам специалитета и программам магистратуры»);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23D9">
        <w:rPr>
          <w:rFonts w:ascii="Times New Roman" w:hAnsi="Times New Roman" w:cs="Times New Roman"/>
          <w:sz w:val="28"/>
          <w:szCs w:val="28"/>
        </w:rPr>
        <w:t xml:space="preserve">исьмом Минобрнауки России от 20 марта 2014 № АК-634/05 «О проведении самообследования образовательных организаций высшего образования» (вместе с «Методическими рекомендациями по проведению самообследования образовательной организации высшего образования», «Методикой расчета показателей деятельности образовательной организации высшего образования, подлежащей самообследованию»); </w:t>
      </w:r>
    </w:p>
    <w:p w:rsidR="00B93928" w:rsidRPr="00DB23D9" w:rsidRDefault="00B93928" w:rsidP="00B9392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B23D9">
        <w:rPr>
          <w:rFonts w:ascii="Times New Roman" w:hAnsi="Times New Roman" w:cs="Times New Roman"/>
          <w:sz w:val="28"/>
          <w:szCs w:val="28"/>
        </w:rPr>
        <w:t>ставом и иными локальными нормативными актами Университета.</w:t>
      </w:r>
    </w:p>
    <w:p w:rsidR="00B93928" w:rsidRPr="00DB23D9" w:rsidRDefault="00B93928" w:rsidP="00B9392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28" w:rsidRPr="004C37FE" w:rsidRDefault="00B93928" w:rsidP="00B93928">
      <w:pPr>
        <w:pStyle w:val="1"/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90655223"/>
      <w:r w:rsidRPr="004C37F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Цель и задачи проведения самообследования </w:t>
      </w:r>
      <w:bookmarkEnd w:id="1"/>
    </w:p>
    <w:p w:rsidR="00B93928" w:rsidRPr="00DB23D9" w:rsidRDefault="00B93928" w:rsidP="00B93928">
      <w:pPr>
        <w:pStyle w:val="a7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Ежегодное самообследование представляет собой документированную процедуру оценки организации и проведения образовательной деятельности,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независимой системы оценки качества образования (ВНОКО).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Цел</w:t>
      </w:r>
      <w:r w:rsidR="006D3BBB">
        <w:rPr>
          <w:rFonts w:ascii="Times New Roman" w:hAnsi="Times New Roman" w:cs="Times New Roman"/>
          <w:sz w:val="28"/>
          <w:szCs w:val="28"/>
        </w:rPr>
        <w:t>ью</w:t>
      </w:r>
      <w:r w:rsidRPr="00DB23D9">
        <w:rPr>
          <w:rFonts w:ascii="Times New Roman" w:hAnsi="Times New Roman" w:cs="Times New Roman"/>
          <w:sz w:val="28"/>
          <w:szCs w:val="28"/>
        </w:rPr>
        <w:t xml:space="preserve"> п</w:t>
      </w:r>
      <w:r w:rsidR="006D3BBB">
        <w:rPr>
          <w:rFonts w:ascii="Times New Roman" w:hAnsi="Times New Roman" w:cs="Times New Roman"/>
          <w:sz w:val="28"/>
          <w:szCs w:val="28"/>
        </w:rPr>
        <w:t>роведения самообследования являе</w:t>
      </w:r>
      <w:r w:rsidRPr="00DB23D9">
        <w:rPr>
          <w:rFonts w:ascii="Times New Roman" w:hAnsi="Times New Roman" w:cs="Times New Roman"/>
          <w:sz w:val="28"/>
          <w:szCs w:val="28"/>
        </w:rPr>
        <w:t>тся обеспечение доступности и открытости информации о деятельности Университета.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Задачи проведения ежегодного самообследования:</w:t>
      </w:r>
    </w:p>
    <w:p w:rsidR="00B93928" w:rsidRPr="00DB23D9" w:rsidRDefault="00B93928" w:rsidP="00B9392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подготовка аналитических материалов по основным направлениям деятельности Университета для формирования отчета о результатах самообследования;</w:t>
      </w:r>
    </w:p>
    <w:p w:rsidR="00B93928" w:rsidRPr="00DB23D9" w:rsidRDefault="00B93928" w:rsidP="00B9392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обеспечение готовности Университета к плановым и внеплановым проверкам, проводимых федеральными органами исполнительной власти, а также независимой оценке качества образования;</w:t>
      </w:r>
    </w:p>
    <w:p w:rsidR="00B93928" w:rsidRPr="00DB23D9" w:rsidRDefault="00B93928" w:rsidP="00B93928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координация деятельности всех структурных подразделений по повышению качества образования в </w:t>
      </w:r>
      <w:r w:rsidRPr="00DB23D9">
        <w:rPr>
          <w:rFonts w:ascii="Times New Roman" w:hAnsi="Times New Roman" w:cs="Times New Roman"/>
          <w:kern w:val="0"/>
          <w:sz w:val="28"/>
          <w:szCs w:val="28"/>
        </w:rPr>
        <w:t>Университете</w:t>
      </w:r>
      <w:r w:rsidRPr="00DB23D9">
        <w:rPr>
          <w:rFonts w:ascii="Times New Roman" w:hAnsi="Times New Roman" w:cs="Times New Roman"/>
          <w:sz w:val="28"/>
          <w:szCs w:val="28"/>
        </w:rPr>
        <w:t>.</w:t>
      </w:r>
    </w:p>
    <w:p w:rsidR="00B93928" w:rsidRPr="00DB23D9" w:rsidRDefault="00B93928" w:rsidP="00B9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28" w:rsidRPr="004C37FE" w:rsidRDefault="00B93928" w:rsidP="00B93928">
      <w:pPr>
        <w:pStyle w:val="1"/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90655224"/>
      <w:r w:rsidRPr="004C37F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Порядок проведения самообследования </w:t>
      </w:r>
      <w:bookmarkEnd w:id="2"/>
    </w:p>
    <w:p w:rsidR="00B93928" w:rsidRPr="00DB23D9" w:rsidRDefault="00B93928" w:rsidP="00C675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Процедура самообследования включает в себя следующие этапы:</w:t>
      </w:r>
    </w:p>
    <w:p w:rsidR="00B93928" w:rsidRPr="00DB23D9" w:rsidRDefault="00B93928" w:rsidP="00B93928">
      <w:pPr>
        <w:pStyle w:val="a7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планирование и подготовк</w:t>
      </w:r>
      <w:r w:rsidR="002306C2">
        <w:rPr>
          <w:rFonts w:ascii="Times New Roman" w:hAnsi="Times New Roman" w:cs="Times New Roman"/>
          <w:sz w:val="28"/>
          <w:szCs w:val="28"/>
        </w:rPr>
        <w:t>у</w:t>
      </w:r>
      <w:r w:rsidRPr="00DB23D9">
        <w:rPr>
          <w:rFonts w:ascii="Times New Roman" w:hAnsi="Times New Roman" w:cs="Times New Roman"/>
          <w:sz w:val="28"/>
          <w:szCs w:val="28"/>
        </w:rPr>
        <w:t xml:space="preserve"> работ по самообследованию;</w:t>
      </w:r>
    </w:p>
    <w:p w:rsidR="00B93928" w:rsidRPr="007E5D9E" w:rsidRDefault="007E5D9E" w:rsidP="00B93928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D9E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B93928" w:rsidRPr="007E5D9E">
        <w:rPr>
          <w:rFonts w:ascii="Times New Roman" w:hAnsi="Times New Roman" w:cs="Times New Roman"/>
          <w:sz w:val="28"/>
          <w:szCs w:val="28"/>
        </w:rPr>
        <w:t>проведение самообследования структурных подразделений;</w:t>
      </w:r>
    </w:p>
    <w:p w:rsidR="00B93928" w:rsidRPr="00DB23D9" w:rsidRDefault="00B93928" w:rsidP="00B93928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обобщение полученных результатов и на их основе формирование отчета о самообследовании;</w:t>
      </w:r>
    </w:p>
    <w:p w:rsidR="00B93928" w:rsidRPr="00DB23D9" w:rsidRDefault="00B93928" w:rsidP="00B93928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рассмотрение отчета о самообследовании на Ученом совете </w:t>
      </w:r>
      <w:r w:rsidRPr="00DB23D9">
        <w:rPr>
          <w:rFonts w:ascii="Times New Roman" w:hAnsi="Times New Roman" w:cs="Times New Roman"/>
          <w:kern w:val="0"/>
          <w:sz w:val="28"/>
          <w:szCs w:val="28"/>
        </w:rPr>
        <w:t>Университета</w:t>
      </w:r>
      <w:r w:rsidRPr="00DB23D9">
        <w:rPr>
          <w:rFonts w:ascii="Times New Roman" w:hAnsi="Times New Roman" w:cs="Times New Roman"/>
          <w:sz w:val="28"/>
          <w:szCs w:val="28"/>
        </w:rPr>
        <w:t>;</w:t>
      </w:r>
    </w:p>
    <w:p w:rsidR="00B93928" w:rsidRDefault="00B93928" w:rsidP="00B93928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размещение отчета о самообследовании на официальном сайте </w:t>
      </w:r>
      <w:r w:rsidRPr="00DB23D9">
        <w:rPr>
          <w:rFonts w:ascii="Times New Roman" w:hAnsi="Times New Roman" w:cs="Times New Roman"/>
          <w:kern w:val="0"/>
          <w:sz w:val="28"/>
          <w:szCs w:val="28"/>
        </w:rPr>
        <w:t>Университета</w:t>
      </w:r>
      <w:r w:rsidRPr="00DB23D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B23D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https://www.sseu.ru</w:t>
        </w:r>
      </w:hyperlink>
      <w:r w:rsidRPr="00DB23D9">
        <w:rPr>
          <w:rFonts w:ascii="Times New Roman" w:hAnsi="Times New Roman" w:cs="Times New Roman"/>
          <w:sz w:val="28"/>
          <w:szCs w:val="28"/>
        </w:rPr>
        <w:t xml:space="preserve"> в разделе «Сведения об образовательной организации» </w:t>
      </w:r>
      <w:r w:rsidR="00AF7225">
        <w:rPr>
          <w:rFonts w:ascii="Times New Roman" w:hAnsi="Times New Roman" w:cs="Times New Roman"/>
          <w:sz w:val="28"/>
          <w:szCs w:val="28"/>
        </w:rPr>
        <w:t>и</w:t>
      </w:r>
      <w:r w:rsidR="00A467A1">
        <w:rPr>
          <w:rFonts w:ascii="Times New Roman" w:hAnsi="Times New Roman" w:cs="Times New Roman"/>
          <w:sz w:val="28"/>
          <w:szCs w:val="28"/>
        </w:rPr>
        <w:t xml:space="preserve"> направление в Министерство науки и высшего образования Российской Федерации</w:t>
      </w:r>
      <w:r w:rsidR="00AF7225">
        <w:rPr>
          <w:rFonts w:ascii="Times New Roman" w:hAnsi="Times New Roman" w:cs="Times New Roman"/>
          <w:sz w:val="28"/>
          <w:szCs w:val="28"/>
        </w:rPr>
        <w:t xml:space="preserve"> </w:t>
      </w:r>
      <w:r w:rsidRPr="00DB23D9">
        <w:rPr>
          <w:rFonts w:ascii="Times New Roman" w:hAnsi="Times New Roman" w:cs="Times New Roman"/>
          <w:sz w:val="28"/>
          <w:szCs w:val="28"/>
        </w:rPr>
        <w:t>не позднее 20 апреля текущего года.</w:t>
      </w:r>
    </w:p>
    <w:p w:rsidR="00AF7225" w:rsidRDefault="0009200C" w:rsidP="00AF722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Самообследование проводится ежегодно в первом квартале текущего года. </w:t>
      </w:r>
      <w:r w:rsidR="00AF7225" w:rsidRPr="00AF7225">
        <w:rPr>
          <w:rFonts w:ascii="Times New Roman" w:hAnsi="Times New Roman" w:cs="Times New Roman"/>
          <w:sz w:val="28"/>
          <w:szCs w:val="28"/>
        </w:rPr>
        <w:t>Отчетным периодом является предшествующий самообследованию календарный год.</w:t>
      </w:r>
    </w:p>
    <w:p w:rsidR="00A467A1" w:rsidRPr="005E0E5E" w:rsidRDefault="005E0E5E" w:rsidP="005E0E5E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5E">
        <w:rPr>
          <w:rFonts w:ascii="Times New Roman" w:hAnsi="Times New Roman" w:cs="Times New Roman"/>
          <w:sz w:val="28"/>
          <w:szCs w:val="28"/>
        </w:rPr>
        <w:t>Распределение ответственности в ходе процедуры самообследования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между структурными </w:t>
      </w:r>
      <w:r w:rsidRPr="005E0E5E">
        <w:rPr>
          <w:rFonts w:ascii="Times New Roman" w:hAnsi="Times New Roman" w:cs="Times New Roman"/>
          <w:sz w:val="28"/>
          <w:szCs w:val="28"/>
        </w:rPr>
        <w:t>подразделения</w:t>
      </w:r>
      <w:r>
        <w:rPr>
          <w:rFonts w:ascii="Times New Roman" w:hAnsi="Times New Roman" w:cs="Times New Roman"/>
          <w:sz w:val="28"/>
          <w:szCs w:val="28"/>
        </w:rPr>
        <w:t>ми Университета</w:t>
      </w:r>
      <w:r w:rsidRPr="005E0E5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5E0E5E">
        <w:rPr>
          <w:rFonts w:ascii="Times New Roman" w:hAnsi="Times New Roman" w:cs="Times New Roman"/>
          <w:sz w:val="28"/>
          <w:szCs w:val="28"/>
        </w:rPr>
        <w:t xml:space="preserve">указаны в Приложении 1. </w:t>
      </w:r>
      <w:r w:rsidR="00A467A1" w:rsidRPr="005E0E5E">
        <w:rPr>
          <w:rFonts w:ascii="Times New Roman" w:hAnsi="Times New Roman" w:cs="Times New Roman"/>
          <w:sz w:val="28"/>
          <w:szCs w:val="28"/>
        </w:rPr>
        <w:t>Сроки и состав лиц, привлекаемых для его проведения, определяются приказом ректора Университета.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Институты, факультет и центры </w:t>
      </w:r>
      <w:r w:rsidR="004110EF">
        <w:rPr>
          <w:rFonts w:ascii="Times New Roman" w:hAnsi="Times New Roman" w:cs="Times New Roman"/>
          <w:sz w:val="28"/>
          <w:szCs w:val="28"/>
        </w:rPr>
        <w:t>У</w:t>
      </w:r>
      <w:r w:rsidRPr="00DB23D9">
        <w:rPr>
          <w:rFonts w:ascii="Times New Roman" w:hAnsi="Times New Roman" w:cs="Times New Roman"/>
          <w:sz w:val="28"/>
          <w:szCs w:val="28"/>
        </w:rPr>
        <w:t>ниверситета предоставляют информацию, необходимую для формирования отчета, по запросу структурных подразделений, ответственных за написание отдельных разделов и подразделов отчета о самообследовании.</w:t>
      </w:r>
    </w:p>
    <w:p w:rsidR="00B93928" w:rsidRPr="00332A52" w:rsidRDefault="007537FA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о самообследовании </w:t>
      </w:r>
      <w:r w:rsidR="00DE56EF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93928" w:rsidRPr="00DB23D9">
        <w:rPr>
          <w:rFonts w:ascii="Times New Roman" w:hAnsi="Times New Roman" w:cs="Times New Roman"/>
          <w:sz w:val="28"/>
          <w:szCs w:val="28"/>
        </w:rPr>
        <w:t xml:space="preserve">готовятся в электронном виде в </w:t>
      </w:r>
      <w:r w:rsidR="00697576">
        <w:rPr>
          <w:rFonts w:ascii="Times New Roman" w:hAnsi="Times New Roman" w:cs="Times New Roman"/>
          <w:sz w:val="28"/>
          <w:szCs w:val="28"/>
        </w:rPr>
        <w:t xml:space="preserve">изменяемом формате </w:t>
      </w:r>
      <w:r w:rsidR="00B93928" w:rsidRPr="00DB23D9">
        <w:rPr>
          <w:rFonts w:ascii="Times New Roman" w:hAnsi="Times New Roman" w:cs="Times New Roman"/>
          <w:sz w:val="28"/>
          <w:szCs w:val="28"/>
        </w:rPr>
        <w:t>и на бумажном носителе (подписываются руководит</w:t>
      </w:r>
      <w:r w:rsidR="00697576">
        <w:rPr>
          <w:rFonts w:ascii="Times New Roman" w:hAnsi="Times New Roman" w:cs="Times New Roman"/>
          <w:sz w:val="28"/>
          <w:szCs w:val="28"/>
        </w:rPr>
        <w:t>елем структурного подразделения,</w:t>
      </w:r>
      <w:r w:rsidR="00B93928" w:rsidRPr="00DB23D9">
        <w:rPr>
          <w:rFonts w:ascii="Times New Roman" w:hAnsi="Times New Roman" w:cs="Times New Roman"/>
          <w:sz w:val="28"/>
          <w:szCs w:val="28"/>
        </w:rPr>
        <w:t xml:space="preserve"> курирующим </w:t>
      </w:r>
      <w:r w:rsidR="00B93928" w:rsidRPr="00332A52">
        <w:rPr>
          <w:rFonts w:ascii="Times New Roman" w:hAnsi="Times New Roman" w:cs="Times New Roman"/>
          <w:sz w:val="28"/>
          <w:szCs w:val="28"/>
        </w:rPr>
        <w:t>проректором) и передаются в управление по развитию образовательных программ.</w:t>
      </w:r>
    </w:p>
    <w:p w:rsidR="00B93928" w:rsidRPr="00332A52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52">
        <w:rPr>
          <w:rFonts w:ascii="Times New Roman" w:hAnsi="Times New Roman" w:cs="Times New Roman"/>
          <w:sz w:val="28"/>
          <w:szCs w:val="28"/>
        </w:rPr>
        <w:t>Отчет о ежегодном самообследовании деятельности Университета формируется управлением по развитию образовательных программ на основании отчетов структурных подразделений, справок по самообследованию основных направлений деятельности Университета с конкретными выводами по объектам проверки</w:t>
      </w:r>
      <w:r w:rsidR="00EC5534">
        <w:rPr>
          <w:rFonts w:ascii="Times New Roman" w:hAnsi="Times New Roman" w:cs="Times New Roman"/>
          <w:sz w:val="28"/>
          <w:szCs w:val="28"/>
        </w:rPr>
        <w:t>.</w:t>
      </w:r>
      <w:r w:rsidRPr="0033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28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рассматривается и утверждается на Ученом совете, подписывается ректором </w:t>
      </w:r>
      <w:r w:rsidR="000932D5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>
        <w:rPr>
          <w:rFonts w:ascii="Times New Roman" w:hAnsi="Times New Roman" w:cs="Times New Roman"/>
          <w:sz w:val="28"/>
          <w:szCs w:val="28"/>
        </w:rPr>
        <w:t>и заверяется печатью.</w:t>
      </w:r>
    </w:p>
    <w:p w:rsidR="00E006D0" w:rsidRDefault="00E006D0" w:rsidP="00E006D0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34FE5">
        <w:rPr>
          <w:rFonts w:ascii="Times New Roman" w:hAnsi="Times New Roman" w:cs="Times New Roman"/>
          <w:sz w:val="28"/>
          <w:szCs w:val="28"/>
        </w:rPr>
        <w:t>размещается</w:t>
      </w:r>
      <w:r w:rsidR="00634FE5" w:rsidRPr="00DB23D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634FE5" w:rsidRPr="00DB23D9">
        <w:rPr>
          <w:rFonts w:ascii="Times New Roman" w:hAnsi="Times New Roman" w:cs="Times New Roman"/>
          <w:kern w:val="0"/>
          <w:sz w:val="28"/>
          <w:szCs w:val="28"/>
        </w:rPr>
        <w:t>Университета</w:t>
      </w:r>
      <w:r w:rsidR="00634FE5" w:rsidRPr="00DB23D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634FE5" w:rsidRPr="00DB23D9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https://www.sseu.ru</w:t>
        </w:r>
      </w:hyperlink>
      <w:r w:rsidR="00634FE5" w:rsidRPr="00DB23D9">
        <w:rPr>
          <w:rFonts w:ascii="Times New Roman" w:hAnsi="Times New Roman" w:cs="Times New Roman"/>
          <w:sz w:val="28"/>
          <w:szCs w:val="28"/>
        </w:rPr>
        <w:t xml:space="preserve"> в разделе «Сведения об образовательной организации» </w:t>
      </w:r>
      <w:r w:rsidR="00634FE5">
        <w:rPr>
          <w:rFonts w:ascii="Times New Roman" w:hAnsi="Times New Roman" w:cs="Times New Roman"/>
          <w:sz w:val="28"/>
          <w:szCs w:val="28"/>
        </w:rPr>
        <w:t xml:space="preserve">и </w:t>
      </w:r>
      <w:r w:rsidR="00634FE5" w:rsidRPr="00DB23D9">
        <w:rPr>
          <w:rFonts w:ascii="Times New Roman" w:hAnsi="Times New Roman" w:cs="Times New Roman"/>
          <w:sz w:val="28"/>
          <w:szCs w:val="28"/>
        </w:rPr>
        <w:t>направляется</w:t>
      </w:r>
      <w:r w:rsidR="00634FE5">
        <w:rPr>
          <w:rFonts w:ascii="Times New Roman" w:hAnsi="Times New Roman" w:cs="Times New Roman"/>
          <w:sz w:val="28"/>
          <w:szCs w:val="28"/>
        </w:rPr>
        <w:t xml:space="preserve"> в Министерство науки и высшего образования Российской Федерации, </w:t>
      </w:r>
      <w:r w:rsidR="00634FE5" w:rsidRPr="00DB23D9">
        <w:rPr>
          <w:rFonts w:ascii="Times New Roman" w:hAnsi="Times New Roman" w:cs="Times New Roman"/>
          <w:sz w:val="28"/>
          <w:szCs w:val="28"/>
        </w:rPr>
        <w:t>осуществляющего полномочия учредителя</w:t>
      </w:r>
      <w:r w:rsidR="00634FE5">
        <w:rPr>
          <w:rFonts w:ascii="Times New Roman" w:hAnsi="Times New Roman" w:cs="Times New Roman"/>
          <w:sz w:val="28"/>
          <w:szCs w:val="28"/>
        </w:rPr>
        <w:t xml:space="preserve"> </w:t>
      </w:r>
      <w:r w:rsidR="00634FE5" w:rsidRPr="00DB23D9">
        <w:rPr>
          <w:rFonts w:ascii="Times New Roman" w:hAnsi="Times New Roman" w:cs="Times New Roman"/>
          <w:sz w:val="28"/>
          <w:szCs w:val="28"/>
        </w:rPr>
        <w:t>не позднее 20 апреля текущего года</w:t>
      </w:r>
      <w:r w:rsidR="00634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28A" w:rsidRPr="00DB23D9" w:rsidRDefault="00E006D0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001985">
        <w:rPr>
          <w:rFonts w:ascii="Times New Roman" w:hAnsi="Times New Roman" w:cs="Times New Roman"/>
          <w:sz w:val="28"/>
          <w:szCs w:val="28"/>
        </w:rPr>
        <w:t xml:space="preserve"> анализа отчета по самообследованию определяются корректирующие мероприятия для включения в план </w:t>
      </w:r>
      <w:r w:rsidR="00001985">
        <w:rPr>
          <w:rFonts w:ascii="Times New Roman" w:hAnsi="Times New Roman" w:cs="Times New Roman"/>
          <w:sz w:val="28"/>
          <w:szCs w:val="28"/>
        </w:rPr>
        <w:lastRenderedPageBreak/>
        <w:t>Университета по устранению выявленных нарушений и недостатков и дальнейшему совершенствованию качества образовательного процесса.</w:t>
      </w:r>
    </w:p>
    <w:p w:rsidR="00B93928" w:rsidRPr="00DB23D9" w:rsidRDefault="00B93928" w:rsidP="00B9392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3928" w:rsidRPr="00142812" w:rsidRDefault="00B93928" w:rsidP="00B93928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90655225"/>
      <w:r w:rsidRPr="001428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отчета о самообследовании </w:t>
      </w:r>
      <w:bookmarkEnd w:id="4"/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Отчет о самообследовании включает в себя аналитическую часть и результаты анализа показателей деятельности Университета.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Структура отчета о самообследовании. </w:t>
      </w:r>
    </w:p>
    <w:p w:rsidR="00B93928" w:rsidRPr="00DB23D9" w:rsidRDefault="00B93928" w:rsidP="00B93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DB23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23D9">
        <w:rPr>
          <w:rFonts w:ascii="Times New Roman" w:hAnsi="Times New Roman" w:cs="Times New Roman"/>
          <w:sz w:val="28"/>
          <w:szCs w:val="28"/>
        </w:rPr>
        <w:t xml:space="preserve">. «Аналитическая часть» должна содержать следующую информацию: </w:t>
      </w:r>
    </w:p>
    <w:p w:rsidR="00B93928" w:rsidRPr="00DB23D9" w:rsidRDefault="00B93928" w:rsidP="00B9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1. </w:t>
      </w:r>
      <w:r w:rsidRPr="00DB23D9">
        <w:rPr>
          <w:rFonts w:ascii="Times New Roman" w:hAnsi="Times New Roman" w:cs="Times New Roman"/>
          <w:i/>
          <w:iCs/>
          <w:sz w:val="28"/>
          <w:szCs w:val="28"/>
        </w:rPr>
        <w:t>Общие сведения об образовательной организации.</w:t>
      </w:r>
      <w:r w:rsidRPr="00DB23D9">
        <w:rPr>
          <w:rFonts w:ascii="Times New Roman" w:hAnsi="Times New Roman" w:cs="Times New Roman"/>
          <w:sz w:val="28"/>
          <w:szCs w:val="28"/>
        </w:rPr>
        <w:t xml:space="preserve"> В данном разделе указывается полное наименование и контактная информация образовательной организации в соответствии со сведениями в уставе и лицензии на осуществление образовательной деятельности. Описываются цель (миссия) вуза, система управления и планируемые результаты деятельности, определенные программой развития вуза.</w:t>
      </w:r>
    </w:p>
    <w:p w:rsidR="00B93928" w:rsidRPr="00DB23D9" w:rsidRDefault="00B93928" w:rsidP="00B9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2. </w:t>
      </w:r>
      <w:r w:rsidRPr="00DB23D9">
        <w:rPr>
          <w:rFonts w:ascii="Times New Roman" w:hAnsi="Times New Roman" w:cs="Times New Roman"/>
          <w:i/>
          <w:iCs/>
          <w:sz w:val="28"/>
          <w:szCs w:val="28"/>
        </w:rPr>
        <w:t>Образовательная деятельность.</w:t>
      </w:r>
      <w:r w:rsidRPr="00DB23D9">
        <w:rPr>
          <w:rFonts w:ascii="Times New Roman" w:hAnsi="Times New Roman" w:cs="Times New Roman"/>
          <w:sz w:val="28"/>
          <w:szCs w:val="28"/>
        </w:rPr>
        <w:t xml:space="preserve"> В данном разделе приводится информация о реализуемых образовательных программах, их содержании, качестве подготовки обучающихся, ориентации на рынок труда и востребованности выпускников. Проводится оценка учебно-методического и библиотечно-информационного обеспечения реализуемых образовательных программ. Проводится анализ внутренней системы оценки качества образования и кадрового обеспечения по направлениям подготовки обучающихся. Приводятся сведения об организации повышения квалификации профессорско-преподавательского состава, анализ возрастного состава преподавателей.</w:t>
      </w:r>
    </w:p>
    <w:p w:rsidR="00B93928" w:rsidRPr="00DB23D9" w:rsidRDefault="00B93928" w:rsidP="00B9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3. </w:t>
      </w:r>
      <w:r w:rsidRPr="00DB23D9">
        <w:rPr>
          <w:rFonts w:ascii="Times New Roman" w:hAnsi="Times New Roman" w:cs="Times New Roman"/>
          <w:i/>
          <w:iCs/>
          <w:sz w:val="28"/>
          <w:szCs w:val="28"/>
        </w:rPr>
        <w:t>Научно-исследовательская деятельность</w:t>
      </w:r>
      <w:r w:rsidRPr="00DB23D9">
        <w:rPr>
          <w:rFonts w:ascii="Times New Roman" w:hAnsi="Times New Roman" w:cs="Times New Roman"/>
          <w:sz w:val="28"/>
          <w:szCs w:val="28"/>
        </w:rPr>
        <w:t>. В данном разделе приводятся сведения об основных научных школах вуза и планах развития основных научных направлений, объемах проведенных научных исследований. Описывается опыт использования результатов научных исследований в образовательной деятельности, внедрения собственных разработок в производственную практику. Проводится анализ эффективности научной деятельности (издание научной и учебной литературы, подготовка научно-педагогических работников, научно-педагогических кадров в аспирантуре, докторантуре и т.д.), активность в патентно-лицензированной деятельности.</w:t>
      </w:r>
    </w:p>
    <w:p w:rsidR="00B93928" w:rsidRPr="00DB23D9" w:rsidRDefault="00B93928" w:rsidP="00B9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4. </w:t>
      </w:r>
      <w:r w:rsidRPr="00DB23D9">
        <w:rPr>
          <w:rFonts w:ascii="Times New Roman" w:hAnsi="Times New Roman" w:cs="Times New Roman"/>
          <w:i/>
          <w:iCs/>
          <w:sz w:val="28"/>
          <w:szCs w:val="28"/>
        </w:rPr>
        <w:t>Международная деятельность.</w:t>
      </w:r>
      <w:r w:rsidRPr="00DB23D9">
        <w:rPr>
          <w:rFonts w:ascii="Times New Roman" w:hAnsi="Times New Roman" w:cs="Times New Roman"/>
          <w:sz w:val="28"/>
          <w:szCs w:val="28"/>
        </w:rPr>
        <w:t xml:space="preserve"> В данном разделе приводится результативность форм международного сотрудничества: участие в международных образовательных и научных программах; обучение иностранных студентов; мобильность научно-педагогических работников и студентов в рамках международных межвузовских обменов (обучение студентов за рубежом, повышение квалификации научно-педагогических работников за рубежом, учебно-научная работа педагогических работников за рубежом).</w:t>
      </w:r>
    </w:p>
    <w:p w:rsidR="00B93928" w:rsidRPr="00DB23D9" w:rsidRDefault="00B93928" w:rsidP="00B9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DB23D9">
        <w:rPr>
          <w:rFonts w:ascii="Times New Roman" w:hAnsi="Times New Roman" w:cs="Times New Roman"/>
          <w:i/>
          <w:iCs/>
          <w:sz w:val="28"/>
          <w:szCs w:val="28"/>
        </w:rPr>
        <w:t>Внеучебная работа.</w:t>
      </w:r>
      <w:r w:rsidRPr="00DB23D9">
        <w:rPr>
          <w:rFonts w:ascii="Times New Roman" w:hAnsi="Times New Roman" w:cs="Times New Roman"/>
          <w:sz w:val="28"/>
          <w:szCs w:val="28"/>
        </w:rPr>
        <w:t xml:space="preserve"> В данном разделе приводятся сведения об организации воспитательной работы в вузе и участии студентов и педагогических работников в общественно-значимых мероприятиях.</w:t>
      </w:r>
    </w:p>
    <w:p w:rsidR="00B93928" w:rsidRPr="00DB23D9" w:rsidRDefault="00B93928" w:rsidP="00B93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6. </w:t>
      </w:r>
      <w:r w:rsidRPr="00DB23D9">
        <w:rPr>
          <w:rFonts w:ascii="Times New Roman" w:hAnsi="Times New Roman" w:cs="Times New Roman"/>
          <w:i/>
          <w:iCs/>
          <w:sz w:val="28"/>
          <w:szCs w:val="28"/>
        </w:rPr>
        <w:t>Материально-технические обеспечение</w:t>
      </w:r>
      <w:r w:rsidRPr="00DB23D9">
        <w:rPr>
          <w:rFonts w:ascii="Times New Roman" w:hAnsi="Times New Roman" w:cs="Times New Roman"/>
          <w:sz w:val="28"/>
          <w:szCs w:val="28"/>
        </w:rPr>
        <w:t>. В данном разделе анализируется состояние материально-технической базы образовательной организации в целом и по направлениям подготовки, состояние и развитие учебно-лабораторной базы, уровень ее оснащения. Характеризуются социально-бытовые условия в вузе: наличие пунктов питания и медицинского обслуживания, общежитий и спортивно-оздоровительных комплексов.</w:t>
      </w:r>
    </w:p>
    <w:p w:rsidR="00B93928" w:rsidRPr="00DB23D9" w:rsidRDefault="00B93928" w:rsidP="00B9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В части II отчета о результатах самообследовании (результаты анализа показателей самообследования) показатели самообследования </w:t>
      </w:r>
      <w:r w:rsidR="00341DAA">
        <w:rPr>
          <w:rFonts w:ascii="Times New Roman" w:hAnsi="Times New Roman" w:cs="Times New Roman"/>
          <w:sz w:val="28"/>
          <w:szCs w:val="28"/>
        </w:rPr>
        <w:t xml:space="preserve">(Приложение 2) </w:t>
      </w:r>
      <w:r w:rsidRPr="00DB23D9">
        <w:rPr>
          <w:rFonts w:ascii="Times New Roman" w:hAnsi="Times New Roman" w:cs="Times New Roman"/>
          <w:sz w:val="28"/>
          <w:szCs w:val="28"/>
        </w:rPr>
        <w:t>рассчитываются на основании сведений, отраженных в формах статистической отчетности (ВПО-1, ВПО-2, 2-Наука, 3-НК, 1-ЗП и других) за отчетный период на основании методики расчета показателей самообследования (</w:t>
      </w:r>
      <w:r w:rsidR="00341DAA">
        <w:rPr>
          <w:rFonts w:ascii="Times New Roman" w:hAnsi="Times New Roman" w:cs="Times New Roman"/>
          <w:sz w:val="28"/>
          <w:szCs w:val="28"/>
        </w:rPr>
        <w:t>п</w:t>
      </w:r>
      <w:r w:rsidRPr="00DB23D9">
        <w:rPr>
          <w:rFonts w:ascii="Times New Roman" w:hAnsi="Times New Roman" w:cs="Times New Roman"/>
          <w:sz w:val="28"/>
          <w:szCs w:val="28"/>
        </w:rPr>
        <w:t xml:space="preserve">риложение 2 к письму Минобрнауки России № АК-634/05). </w:t>
      </w:r>
    </w:p>
    <w:p w:rsidR="00B93928" w:rsidRPr="00DB23D9" w:rsidRDefault="00B93928" w:rsidP="00B939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Часть II оформляется в табличной форме (форма установлена приказом Минобрнауки России № 1324) как отдельный документ, который является неотъемлемой частью отчета о результатах самообследования. Анализ показателей делается в тех разделах (подразделах) части I отчета, которые соответствуют им содержательно:</w:t>
      </w:r>
    </w:p>
    <w:p w:rsidR="00B93928" w:rsidRPr="00DB23D9" w:rsidRDefault="00B93928" w:rsidP="00B939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образовательная детальность;</w:t>
      </w:r>
    </w:p>
    <w:p w:rsidR="00B93928" w:rsidRPr="00DB23D9" w:rsidRDefault="00B93928" w:rsidP="00B939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научно-исследовательская деятельность;</w:t>
      </w:r>
    </w:p>
    <w:p w:rsidR="00B93928" w:rsidRPr="00DB23D9" w:rsidRDefault="00B93928" w:rsidP="00B939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международная деятельность;</w:t>
      </w:r>
    </w:p>
    <w:p w:rsidR="00B93928" w:rsidRPr="00DB23D9" w:rsidRDefault="00B93928" w:rsidP="00B939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финансово-экономическая деятельность;</w:t>
      </w:r>
    </w:p>
    <w:p w:rsidR="00B93928" w:rsidRPr="00DB23D9" w:rsidRDefault="00B93928" w:rsidP="00B9392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инфраструктура. </w:t>
      </w:r>
    </w:p>
    <w:p w:rsidR="00B93928" w:rsidRPr="00DB23D9" w:rsidRDefault="00B93928" w:rsidP="00B93928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подразделений, обеспечивающих подготовку отчета по соответствующим направлениям деятельности, несут ответственность за выполнение данного Положения в соответствии с требованиями действующего законодательства.</w:t>
      </w:r>
    </w:p>
    <w:p w:rsidR="00B93928" w:rsidRPr="00DB23D9" w:rsidRDefault="00B93928" w:rsidP="00B939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93928" w:rsidRPr="00DB23D9" w:rsidRDefault="002E628A" w:rsidP="00B93928">
      <w:pPr>
        <w:pStyle w:val="1"/>
        <w:spacing w:before="0" w:after="0" w:line="240" w:lineRule="auto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90655226"/>
      <w:r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3D527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B93928" w:rsidRPr="00DB23D9">
        <w:rPr>
          <w:rFonts w:ascii="Times New Roman" w:hAnsi="Times New Roman" w:cs="Times New Roman"/>
          <w:b/>
          <w:color w:val="auto"/>
          <w:sz w:val="28"/>
          <w:szCs w:val="28"/>
        </w:rPr>
        <w:t>Заключительные положения</w:t>
      </w:r>
      <w:bookmarkEnd w:id="5"/>
    </w:p>
    <w:p w:rsidR="00B93928" w:rsidRPr="00DB23D9" w:rsidRDefault="002E628A" w:rsidP="00B9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928">
        <w:rPr>
          <w:rFonts w:ascii="Times New Roman" w:hAnsi="Times New Roman" w:cs="Times New Roman"/>
          <w:sz w:val="28"/>
          <w:szCs w:val="28"/>
        </w:rPr>
        <w:t xml:space="preserve">.1 </w:t>
      </w:r>
      <w:r w:rsidR="00B93928" w:rsidRPr="00DB23D9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его утверждения ректором Университета и действует до его отмены.</w:t>
      </w:r>
    </w:p>
    <w:p w:rsidR="00B93928" w:rsidRDefault="002E628A" w:rsidP="00B9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928">
        <w:rPr>
          <w:rFonts w:ascii="Times New Roman" w:hAnsi="Times New Roman" w:cs="Times New Roman"/>
          <w:sz w:val="28"/>
          <w:szCs w:val="28"/>
        </w:rPr>
        <w:t>.</w:t>
      </w:r>
      <w:r w:rsidR="00F943C4">
        <w:rPr>
          <w:rFonts w:ascii="Times New Roman" w:hAnsi="Times New Roman" w:cs="Times New Roman"/>
          <w:sz w:val="28"/>
          <w:szCs w:val="28"/>
        </w:rPr>
        <w:t>2</w:t>
      </w:r>
      <w:r w:rsidR="00B93928">
        <w:rPr>
          <w:rFonts w:ascii="Times New Roman" w:hAnsi="Times New Roman" w:cs="Times New Roman"/>
          <w:sz w:val="28"/>
          <w:szCs w:val="28"/>
        </w:rPr>
        <w:t xml:space="preserve"> </w:t>
      </w:r>
      <w:r w:rsidR="00707590">
        <w:rPr>
          <w:rFonts w:ascii="Times New Roman" w:hAnsi="Times New Roman" w:cs="Times New Roman"/>
          <w:sz w:val="28"/>
          <w:szCs w:val="28"/>
        </w:rPr>
        <w:t xml:space="preserve">В случаях, не предусмотренных настоящим Положением, правовые отношения регулируются законодательством Российской Федерации, нормативными актами Минобрнауки РФ, Уставом Университета и иными </w:t>
      </w:r>
      <w:r w:rsidR="00B93928" w:rsidRPr="00DB23D9">
        <w:rPr>
          <w:rFonts w:ascii="Times New Roman" w:hAnsi="Times New Roman" w:cs="Times New Roman"/>
          <w:sz w:val="28"/>
          <w:szCs w:val="28"/>
        </w:rPr>
        <w:t>локальны</w:t>
      </w:r>
      <w:r w:rsidR="00707590">
        <w:rPr>
          <w:rFonts w:ascii="Times New Roman" w:hAnsi="Times New Roman" w:cs="Times New Roman"/>
          <w:sz w:val="28"/>
          <w:szCs w:val="28"/>
        </w:rPr>
        <w:t>ми нормативными</w:t>
      </w:r>
      <w:r w:rsidR="00B93928" w:rsidRPr="00DB23D9">
        <w:rPr>
          <w:rFonts w:ascii="Times New Roman" w:hAnsi="Times New Roman" w:cs="Times New Roman"/>
          <w:sz w:val="28"/>
          <w:szCs w:val="28"/>
        </w:rPr>
        <w:t xml:space="preserve"> акт</w:t>
      </w:r>
      <w:r w:rsidR="00707590">
        <w:rPr>
          <w:rFonts w:ascii="Times New Roman" w:hAnsi="Times New Roman" w:cs="Times New Roman"/>
          <w:sz w:val="28"/>
          <w:szCs w:val="28"/>
        </w:rPr>
        <w:t>ами</w:t>
      </w:r>
      <w:r w:rsidR="00B93928" w:rsidRPr="00DB23D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707590">
        <w:rPr>
          <w:rFonts w:ascii="Times New Roman" w:hAnsi="Times New Roman" w:cs="Times New Roman"/>
          <w:sz w:val="28"/>
          <w:szCs w:val="28"/>
        </w:rPr>
        <w:t>.</w:t>
      </w:r>
    </w:p>
    <w:p w:rsidR="00B93928" w:rsidRPr="00DB23D9" w:rsidRDefault="00B93928" w:rsidP="00B9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6CC9" w:rsidRDefault="009D6CC9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D6CC9" w:rsidRDefault="009D6CC9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5444C" w:rsidRDefault="00247472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F47FC">
        <w:rPr>
          <w:rFonts w:ascii="Times New Roman" w:eastAsia="Calibri" w:hAnsi="Times New Roman" w:cs="Times New Roman"/>
          <w:kern w:val="0"/>
          <w:sz w:val="28"/>
          <w:szCs w:val="28"/>
        </w:rPr>
        <w:t>РАЗРАБОТ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ЧИК</w:t>
      </w:r>
      <w:r w:rsidR="0055444C" w:rsidRPr="00CF47FC">
        <w:rPr>
          <w:rFonts w:ascii="Times New Roman" w:eastAsia="Calibri" w:hAnsi="Times New Roman" w:cs="Times New Roman"/>
          <w:kern w:val="0"/>
          <w:sz w:val="28"/>
          <w:szCs w:val="28"/>
        </w:rPr>
        <w:t>:</w:t>
      </w:r>
    </w:p>
    <w:p w:rsidR="006D550B" w:rsidRPr="00CF47FC" w:rsidRDefault="006D550B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5444C" w:rsidRDefault="0055444C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F47FC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Начальник управления по </w:t>
      </w:r>
    </w:p>
    <w:p w:rsidR="0055444C" w:rsidRDefault="0055444C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F47FC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развитию образовательных программ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ab/>
        <w:t>Е.П. Солодова</w:t>
      </w:r>
    </w:p>
    <w:p w:rsidR="0055444C" w:rsidRDefault="0055444C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5444C" w:rsidRDefault="0055444C" w:rsidP="0055444C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br w:type="page"/>
      </w:r>
    </w:p>
    <w:p w:rsidR="0055444C" w:rsidRDefault="0055444C" w:rsidP="0055444C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tbl>
      <w:tblPr>
        <w:tblStyle w:val="24"/>
        <w:tblW w:w="103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2298"/>
        <w:gridCol w:w="3402"/>
      </w:tblGrid>
      <w:tr w:rsidR="0055444C" w:rsidRPr="00CF47FC" w:rsidTr="000A26FB">
        <w:trPr>
          <w:jc w:val="center"/>
        </w:trPr>
        <w:tc>
          <w:tcPr>
            <w:tcW w:w="4678" w:type="dxa"/>
          </w:tcPr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444C" w:rsidRPr="00CF47FC" w:rsidTr="000A26FB">
        <w:trPr>
          <w:jc w:val="center"/>
        </w:trPr>
        <w:tc>
          <w:tcPr>
            <w:tcW w:w="4678" w:type="dxa"/>
          </w:tcPr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Проректор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образовательной деятельности </w:t>
            </w: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0"/>
                <w:szCs w:val="10"/>
              </w:rPr>
            </w:pP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</w:t>
            </w: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М.О. Сураева</w:t>
            </w:r>
          </w:p>
        </w:tc>
      </w:tr>
      <w:tr w:rsidR="0055444C" w:rsidRPr="00CF47FC" w:rsidTr="000A26FB">
        <w:trPr>
          <w:jc w:val="center"/>
        </w:trPr>
        <w:tc>
          <w:tcPr>
            <w:tcW w:w="4678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Проректор по научной работе</w:t>
            </w: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инновационному развитию</w:t>
            </w:r>
          </w:p>
          <w:p w:rsidR="0055444C" w:rsidRPr="00CF47FC" w:rsidRDefault="0055444C" w:rsidP="0036300F">
            <w:pPr>
              <w:widowControl w:val="0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0"/>
                <w:szCs w:val="10"/>
                <w:lang w:eastAsia="ru-RU"/>
              </w:rPr>
            </w:pPr>
          </w:p>
          <w:p w:rsidR="0055444C" w:rsidRPr="00CF47FC" w:rsidRDefault="0055444C" w:rsidP="003630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:rsidR="0055444C" w:rsidRPr="00CF47FC" w:rsidRDefault="0055444C" w:rsidP="0036300F">
            <w:pPr>
              <w:widowControl w:val="0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М.С. Гусева</w:t>
            </w:r>
          </w:p>
        </w:tc>
      </w:tr>
      <w:tr w:rsidR="0055444C" w:rsidRPr="00CF47FC" w:rsidTr="000A26FB">
        <w:trPr>
          <w:jc w:val="center"/>
        </w:trPr>
        <w:tc>
          <w:tcPr>
            <w:tcW w:w="4678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2748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роректор по взаимодействию с государственны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 и корпоративными структурами</w:t>
            </w:r>
          </w:p>
        </w:tc>
        <w:tc>
          <w:tcPr>
            <w:tcW w:w="2298" w:type="dxa"/>
          </w:tcPr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</w:t>
            </w: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vAlign w:val="center"/>
          </w:tcPr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Е.В. Ширнина</w:t>
            </w: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444C" w:rsidRPr="00CF47FC" w:rsidTr="000A26FB">
        <w:trPr>
          <w:jc w:val="center"/>
        </w:trPr>
        <w:tc>
          <w:tcPr>
            <w:tcW w:w="4678" w:type="dxa"/>
          </w:tcPr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Проректор по молодежной политике</w:t>
            </w:r>
          </w:p>
          <w:p w:rsidR="0055444C" w:rsidRPr="002748FE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55444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</w:t>
            </w:r>
          </w:p>
          <w:p w:rsidR="0055444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О.Н. Поздышева</w:t>
            </w:r>
          </w:p>
        </w:tc>
      </w:tr>
      <w:tr w:rsidR="0055444C" w:rsidRPr="00CF47FC" w:rsidTr="000A26FB">
        <w:trPr>
          <w:jc w:val="center"/>
        </w:trPr>
        <w:tc>
          <w:tcPr>
            <w:tcW w:w="4678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48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Проректор по безопасности и управлению хозяйственным комплексом</w:t>
            </w: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5444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___________________</w:t>
            </w:r>
          </w:p>
          <w:p w:rsidR="0055444C" w:rsidRPr="00CF47FC" w:rsidRDefault="0055444C" w:rsidP="0036300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:rsidR="0055444C" w:rsidRPr="00CF47FC" w:rsidRDefault="0055444C" w:rsidP="0036300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А.А. </w:t>
            </w:r>
            <w:r w:rsidRPr="002748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Максимов</w:t>
            </w:r>
          </w:p>
        </w:tc>
      </w:tr>
      <w:tr w:rsidR="00EA541F" w:rsidRPr="00CF47FC" w:rsidTr="000A26FB">
        <w:trPr>
          <w:jc w:val="center"/>
        </w:trPr>
        <w:tc>
          <w:tcPr>
            <w:tcW w:w="4678" w:type="dxa"/>
          </w:tcPr>
          <w:p w:rsidR="00EA541F" w:rsidRPr="00CF47FC" w:rsidRDefault="00EA541F" w:rsidP="00EA541F">
            <w:pPr>
              <w:widowControl w:val="0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планово-финансового управления</w:t>
            </w: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:rsidR="00EA541F" w:rsidRPr="00CF47FC" w:rsidRDefault="00EA541F" w:rsidP="00EA541F">
            <w:pPr>
              <w:widowControl w:val="0"/>
              <w:rPr>
                <w:rFonts w:ascii="Calibri" w:eastAsia="Calibri" w:hAnsi="Calibri" w:cs="Times New Roman"/>
                <w:color w:val="000000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Ю.В. Золотовицкая</w:t>
            </w:r>
          </w:p>
        </w:tc>
      </w:tr>
      <w:tr w:rsidR="00EA541F" w:rsidRPr="00CF47FC" w:rsidTr="000A26FB">
        <w:trPr>
          <w:trHeight w:val="794"/>
          <w:jc w:val="center"/>
        </w:trPr>
        <w:tc>
          <w:tcPr>
            <w:tcW w:w="4678" w:type="dxa"/>
          </w:tcPr>
          <w:p w:rsidR="00EA541F" w:rsidRPr="00CF47FC" w:rsidRDefault="00EA541F" w:rsidP="00EA54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48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департамента управления делами и кадров</w:t>
            </w: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298" w:type="dxa"/>
          </w:tcPr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  <w:vAlign w:val="center"/>
          </w:tcPr>
          <w:p w:rsidR="00EA541F" w:rsidRPr="00CF47FC" w:rsidRDefault="00EA541F" w:rsidP="00EA54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748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О.Н. Ломовицкая</w:t>
            </w:r>
          </w:p>
        </w:tc>
      </w:tr>
      <w:tr w:rsidR="00EA541F" w:rsidRPr="00CF47FC" w:rsidTr="000A26FB">
        <w:trPr>
          <w:jc w:val="center"/>
        </w:trPr>
        <w:tc>
          <w:tcPr>
            <w:tcW w:w="4678" w:type="dxa"/>
          </w:tcPr>
          <w:p w:rsidR="00EA541F" w:rsidRPr="00CF47FC" w:rsidRDefault="00EA541F" w:rsidP="00EA54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A541F" w:rsidRPr="00CF47FC" w:rsidRDefault="00EA541F" w:rsidP="00EA541F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Правовое управление</w:t>
            </w:r>
          </w:p>
        </w:tc>
        <w:tc>
          <w:tcPr>
            <w:tcW w:w="2298" w:type="dxa"/>
          </w:tcPr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CF47FC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___________________</w:t>
            </w:r>
          </w:p>
          <w:p w:rsidR="00EA541F" w:rsidRPr="00CF47FC" w:rsidRDefault="00EA541F" w:rsidP="00EA541F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F47F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02" w:type="dxa"/>
          </w:tcPr>
          <w:p w:rsidR="00EA541F" w:rsidRPr="00CF47FC" w:rsidRDefault="00EA541F" w:rsidP="00EA541F">
            <w:pPr>
              <w:widowControl w:val="0"/>
              <w:ind w:firstLine="746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444C" w:rsidRPr="00CF47FC" w:rsidRDefault="0055444C" w:rsidP="0055444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55444C" w:rsidRPr="00CF47FC" w:rsidRDefault="0055444C" w:rsidP="0055444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55444C" w:rsidRPr="00CF47FC" w:rsidRDefault="0055444C" w:rsidP="0055444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55444C" w:rsidRPr="00CF47FC" w:rsidRDefault="0055444C" w:rsidP="0055444C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55444C" w:rsidRPr="00CF47FC" w:rsidRDefault="0055444C" w:rsidP="005544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F47FC">
        <w:rPr>
          <w:rFonts w:ascii="Times New Roman" w:eastAsia="Calibri" w:hAnsi="Times New Roman" w:cs="Times New Roman"/>
          <w:kern w:val="0"/>
          <w:sz w:val="28"/>
          <w:szCs w:val="28"/>
        </w:rPr>
        <w:t>ОЗНАКОМЛЕНЫ:</w:t>
      </w:r>
    </w:p>
    <w:p w:rsidR="0055444C" w:rsidRPr="00CF47FC" w:rsidRDefault="0055444C" w:rsidP="0055444C">
      <w:pPr>
        <w:spacing w:after="0" w:line="240" w:lineRule="auto"/>
        <w:rPr>
          <w:rFonts w:ascii="Segoe UI" w:eastAsia="Calibri" w:hAnsi="Segoe UI" w:cs="Segoe UI"/>
          <w:kern w:val="0"/>
          <w:sz w:val="28"/>
          <w:szCs w:val="28"/>
        </w:rPr>
      </w:pPr>
      <w:r w:rsidRPr="00CF47F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                                                                                                           </w:t>
      </w:r>
    </w:p>
    <w:p w:rsidR="0055444C" w:rsidRPr="00CF47FC" w:rsidRDefault="00CF725A" w:rsidP="0055444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6" type="#_x0000_t32" style="position:absolute;margin-left:354.5pt;margin-top:1.95pt;width:98.55pt;height: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AutoShape 3" o:spid="_x0000_s1037" type="#_x0000_t32" style="position:absolute;margin-left:229.9pt;margin-top:1.95pt;width:113.3pt;height:.3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AutoShape 4" o:spid="_x0000_s1036" type="#_x0000_t32" style="position:absolute;margin-left:11.55pt;margin-top:3.35pt;width:151.9pt;height:.3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"/>
        </w:pict>
      </w:r>
      <w:r w:rsidR="0055444C" w:rsidRPr="00CF47FC">
        <w:rPr>
          <w:rFonts w:ascii="Times New Roman" w:eastAsia="Calibri" w:hAnsi="Times New Roman" w:cs="Times New Roman"/>
          <w:kern w:val="0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5444C" w:rsidRPr="0055444C">
        <w:rPr>
          <w:rFonts w:ascii="Times New Roman" w:eastAsia="Calibri" w:hAnsi="Times New Roman" w:cs="Times New Roman"/>
          <w:kern w:val="0"/>
          <w:sz w:val="22"/>
          <w:szCs w:val="28"/>
        </w:rPr>
        <w:t>(подпись) </w:t>
      </w:r>
    </w:p>
    <w:p w:rsidR="0055444C" w:rsidRPr="00CF47FC" w:rsidRDefault="0055444C" w:rsidP="0055444C">
      <w:pPr>
        <w:spacing w:after="0" w:line="240" w:lineRule="auto"/>
        <w:rPr>
          <w:rFonts w:ascii="Segoe UI" w:eastAsia="Calibri" w:hAnsi="Segoe UI" w:cs="Segoe UI"/>
          <w:kern w:val="0"/>
          <w:sz w:val="28"/>
          <w:szCs w:val="28"/>
        </w:rPr>
      </w:pPr>
    </w:p>
    <w:p w:rsidR="0055444C" w:rsidRPr="00CF47FC" w:rsidRDefault="00CF725A" w:rsidP="0055444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AutoShape 8" o:spid="_x0000_s1035" type="#_x0000_t32" style="position:absolute;margin-left:354.5pt;margin-top:1.95pt;width:100.95pt;height:0;z-index:251677696;visibility:visible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AutoShape 6" o:spid="_x0000_s1034" type="#_x0000_t32" style="position:absolute;margin-left:229.9pt;margin-top:1.95pt;width:113.3pt;height:.3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AutoShape 7" o:spid="_x0000_s1033" type="#_x0000_t32" style="position:absolute;margin-left:11.55pt;margin-top:3.35pt;width:151.9pt;height:.3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"/>
        </w:pict>
      </w:r>
      <w:r w:rsidR="0055444C" w:rsidRPr="00CF47FC">
        <w:rPr>
          <w:rFonts w:ascii="Times New Roman" w:eastAsia="Calibri" w:hAnsi="Times New Roman" w:cs="Times New Roman"/>
          <w:kern w:val="0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5444C" w:rsidRPr="0055444C">
        <w:rPr>
          <w:rFonts w:ascii="Times New Roman" w:eastAsia="Calibri" w:hAnsi="Times New Roman" w:cs="Times New Roman"/>
          <w:kern w:val="0"/>
          <w:sz w:val="22"/>
          <w:szCs w:val="28"/>
        </w:rPr>
        <w:t>(подпись) </w:t>
      </w:r>
    </w:p>
    <w:p w:rsidR="0055444C" w:rsidRPr="00CF47FC" w:rsidRDefault="0055444C" w:rsidP="0055444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55444C" w:rsidRPr="00CF47FC" w:rsidRDefault="00CF725A" w:rsidP="0055444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_x0000_s1032" type="#_x0000_t32" style="position:absolute;margin-left:354.5pt;margin-top:1.95pt;width:100.95pt;height:0;z-index:251680768;visibility:visible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_x0000_s1031" type="#_x0000_t32" style="position:absolute;margin-left:229.9pt;margin-top:1.95pt;width:113.3pt;height:.3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_x0000_s1030" type="#_x0000_t32" style="position:absolute;margin-left:11.55pt;margin-top:3.35pt;width:151.9pt;height: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"/>
        </w:pict>
      </w:r>
      <w:r w:rsidR="0055444C" w:rsidRPr="00CF47FC">
        <w:rPr>
          <w:rFonts w:ascii="Times New Roman" w:eastAsia="Calibri" w:hAnsi="Times New Roman" w:cs="Times New Roman"/>
          <w:kern w:val="0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5444C" w:rsidRPr="0055444C">
        <w:rPr>
          <w:rFonts w:ascii="Times New Roman" w:eastAsia="Calibri" w:hAnsi="Times New Roman" w:cs="Times New Roman"/>
          <w:kern w:val="0"/>
          <w:sz w:val="22"/>
          <w:szCs w:val="28"/>
        </w:rPr>
        <w:t>(подпись) </w:t>
      </w:r>
    </w:p>
    <w:p w:rsidR="0055444C" w:rsidRPr="00CF47FC" w:rsidRDefault="0055444C" w:rsidP="0055444C">
      <w:pPr>
        <w:spacing w:after="0" w:line="240" w:lineRule="auto"/>
        <w:rPr>
          <w:rFonts w:ascii="Segoe UI" w:eastAsia="Calibri" w:hAnsi="Segoe UI" w:cs="Segoe UI"/>
          <w:kern w:val="0"/>
          <w:sz w:val="28"/>
          <w:szCs w:val="28"/>
        </w:rPr>
      </w:pPr>
    </w:p>
    <w:p w:rsidR="0055444C" w:rsidRPr="00CF47FC" w:rsidRDefault="00CF725A" w:rsidP="0055444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_x0000_s1029" type="#_x0000_t32" style="position:absolute;margin-left:354.5pt;margin-top:1.95pt;width:100.95pt;height:0;z-index:251683840;visibility:visible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_x0000_s1028" type="#_x0000_t32" style="position:absolute;margin-left:229.9pt;margin-top:1.95pt;width:113.3pt;height:.3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"/>
        </w:pict>
      </w:r>
      <w:r>
        <w:rPr>
          <w:rFonts w:ascii="Times New Roman" w:eastAsia="Calibri" w:hAnsi="Times New Roman" w:cs="Times New Roman"/>
          <w:noProof/>
          <w:kern w:val="0"/>
          <w:sz w:val="28"/>
          <w:szCs w:val="28"/>
          <w:lang w:eastAsia="ru-RU"/>
        </w:rPr>
        <w:pict>
          <v:shape id="_x0000_s1027" type="#_x0000_t32" style="position:absolute;margin-left:11.55pt;margin-top:3.35pt;width:151.9pt;height:.3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"/>
        </w:pict>
      </w:r>
      <w:r w:rsidR="0055444C" w:rsidRPr="00CF47FC">
        <w:rPr>
          <w:rFonts w:ascii="Times New Roman" w:eastAsia="Calibri" w:hAnsi="Times New Roman" w:cs="Times New Roman"/>
          <w:kern w:val="0"/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55444C" w:rsidRPr="0055444C">
        <w:rPr>
          <w:rFonts w:ascii="Times New Roman" w:eastAsia="Calibri" w:hAnsi="Times New Roman" w:cs="Times New Roman"/>
          <w:kern w:val="0"/>
          <w:sz w:val="22"/>
          <w:szCs w:val="28"/>
        </w:rPr>
        <w:t>(подпись) </w:t>
      </w:r>
    </w:p>
    <w:p w:rsidR="00B93928" w:rsidRPr="00DB23D9" w:rsidRDefault="00B93928" w:rsidP="00B93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28" w:rsidRPr="00DB23D9" w:rsidRDefault="00B93928" w:rsidP="00B93928">
      <w:pPr>
        <w:pStyle w:val="1"/>
        <w:pageBreakBefore/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90655227"/>
      <w:r w:rsidRPr="00DB23D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1</w:t>
      </w:r>
      <w:bookmarkEnd w:id="6"/>
    </w:p>
    <w:p w:rsidR="00B93928" w:rsidRPr="00DB23D9" w:rsidRDefault="0067786A" w:rsidP="00B93928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B23D9">
        <w:rPr>
          <w:rFonts w:ascii="Times New Roman" w:hAnsi="Times New Roman" w:cs="Times New Roman"/>
          <w:sz w:val="28"/>
          <w:szCs w:val="28"/>
        </w:rPr>
        <w:t>тветственности</w:t>
      </w:r>
    </w:p>
    <w:p w:rsidR="00B93928" w:rsidRDefault="00B93928" w:rsidP="00B93928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в ходе процедуры самообследования</w:t>
      </w:r>
    </w:p>
    <w:p w:rsidR="008416C8" w:rsidRPr="00DB23D9" w:rsidRDefault="008416C8" w:rsidP="00B93928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208" w:type="dxa"/>
        <w:tblInd w:w="-5" w:type="dxa"/>
        <w:tblLayout w:type="fixed"/>
        <w:tblLook w:val="04A0"/>
      </w:tblPr>
      <w:tblGrid>
        <w:gridCol w:w="1985"/>
        <w:gridCol w:w="4903"/>
        <w:gridCol w:w="2320"/>
      </w:tblGrid>
      <w:tr w:rsidR="00B93928" w:rsidRPr="00247472" w:rsidTr="0067786A">
        <w:tc>
          <w:tcPr>
            <w:tcW w:w="1985" w:type="dxa"/>
          </w:tcPr>
          <w:p w:rsidR="00B93928" w:rsidRPr="00247472" w:rsidRDefault="00B93928" w:rsidP="0067786A">
            <w:pPr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Раздел отчета</w:t>
            </w: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Содержание раздела</w:t>
            </w:r>
          </w:p>
        </w:tc>
        <w:tc>
          <w:tcPr>
            <w:tcW w:w="2320" w:type="dxa"/>
          </w:tcPr>
          <w:p w:rsidR="00B93928" w:rsidRPr="00247472" w:rsidRDefault="00B93928" w:rsidP="00CF47FC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Ответственное структурное подразделение</w:t>
            </w:r>
          </w:p>
        </w:tc>
      </w:tr>
      <w:tr w:rsidR="00B93928" w:rsidRPr="00247472" w:rsidTr="0067786A">
        <w:tc>
          <w:tcPr>
            <w:tcW w:w="9208" w:type="dxa"/>
            <w:gridSpan w:val="3"/>
          </w:tcPr>
          <w:p w:rsidR="00B93928" w:rsidRPr="00247472" w:rsidRDefault="0067786A" w:rsidP="0067786A">
            <w:pPr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Аналитическая ч</w:t>
            </w:r>
            <w:r w:rsidRPr="00247472">
              <w:rPr>
                <w:rFonts w:ascii="Times New Roman" w:hAnsi="Times New Roman" w:cs="Times New Roman"/>
                <w:szCs w:val="28"/>
              </w:rPr>
              <w:t>асть</w:t>
            </w:r>
          </w:p>
        </w:tc>
      </w:tr>
      <w:tr w:rsidR="00B93928" w:rsidRPr="00247472" w:rsidTr="0067786A">
        <w:trPr>
          <w:trHeight w:val="1306"/>
        </w:trPr>
        <w:tc>
          <w:tcPr>
            <w:tcW w:w="1985" w:type="dxa"/>
            <w:vMerge w:val="restart"/>
          </w:tcPr>
          <w:p w:rsidR="00B93928" w:rsidRPr="00247472" w:rsidRDefault="00B93928" w:rsidP="0067786A">
            <w:pPr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Полное наименование и контактная информация образовательной организации в соответствии со сведениями в уставе и лицензии на осуществление образовательной деятельности.</w:t>
            </w:r>
          </w:p>
        </w:tc>
        <w:tc>
          <w:tcPr>
            <w:tcW w:w="2320" w:type="dxa"/>
          </w:tcPr>
          <w:p w:rsidR="00B93928" w:rsidRPr="00247472" w:rsidRDefault="00247472" w:rsidP="00BA7F9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Проректор по образовательной деятельности</w:t>
            </w:r>
          </w:p>
        </w:tc>
      </w:tr>
      <w:tr w:rsidR="00B93928" w:rsidRPr="00247472" w:rsidTr="0067786A">
        <w:trPr>
          <w:trHeight w:val="1104"/>
        </w:trPr>
        <w:tc>
          <w:tcPr>
            <w:tcW w:w="1985" w:type="dxa"/>
            <w:vMerge/>
          </w:tcPr>
          <w:p w:rsidR="00B93928" w:rsidRPr="00247472" w:rsidRDefault="00B93928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Цель (миссия) вуза, система управления и планируемые результаты деятельности, определенные программой развития вуза.</w:t>
            </w:r>
          </w:p>
        </w:tc>
        <w:tc>
          <w:tcPr>
            <w:tcW w:w="2320" w:type="dxa"/>
          </w:tcPr>
          <w:p w:rsidR="00B93928" w:rsidRPr="00247472" w:rsidRDefault="00920DB5" w:rsidP="00BA7F9D">
            <w:pPr>
              <w:rPr>
                <w:rFonts w:ascii="Times New Roman" w:hAnsi="Times New Roman" w:cs="Times New Roman"/>
                <w:szCs w:val="28"/>
              </w:rPr>
            </w:pPr>
            <w:r w:rsidRPr="00920DB5">
              <w:rPr>
                <w:rFonts w:ascii="Times New Roman" w:hAnsi="Times New Roman" w:cs="Times New Roman"/>
                <w:szCs w:val="28"/>
              </w:rPr>
              <w:t>Проректор по научной работе и инновационному развитию</w:t>
            </w:r>
          </w:p>
        </w:tc>
      </w:tr>
      <w:tr w:rsidR="00B93928" w:rsidRPr="00247472" w:rsidTr="0067786A">
        <w:trPr>
          <w:trHeight w:val="1508"/>
        </w:trPr>
        <w:tc>
          <w:tcPr>
            <w:tcW w:w="1985" w:type="dxa"/>
            <w:vMerge w:val="restart"/>
          </w:tcPr>
          <w:p w:rsidR="00B93928" w:rsidRPr="00247472" w:rsidRDefault="00B93928" w:rsidP="0067786A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Образовательная деятельность</w:t>
            </w: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 xml:space="preserve">Приводится информация о реализуемых образовательных программах, их содержании, качестве подготовки обучающихся, ориентации на рынок труда и востребованности выпускников. </w:t>
            </w:r>
          </w:p>
        </w:tc>
        <w:tc>
          <w:tcPr>
            <w:tcW w:w="2320" w:type="dxa"/>
          </w:tcPr>
          <w:p w:rsidR="00B93928" w:rsidRPr="00247472" w:rsidRDefault="00920DB5" w:rsidP="00BA7F9D">
            <w:pPr>
              <w:rPr>
                <w:rFonts w:ascii="Times New Roman" w:hAnsi="Times New Roman" w:cs="Times New Roman"/>
                <w:szCs w:val="28"/>
              </w:rPr>
            </w:pPr>
            <w:r w:rsidRPr="00920DB5">
              <w:rPr>
                <w:rFonts w:ascii="Times New Roman" w:hAnsi="Times New Roman" w:cs="Times New Roman"/>
                <w:szCs w:val="28"/>
              </w:rPr>
              <w:t>Проректор по образовательной деятельности</w:t>
            </w:r>
          </w:p>
        </w:tc>
      </w:tr>
      <w:tr w:rsidR="00B93928" w:rsidRPr="00247472" w:rsidTr="0067786A">
        <w:trPr>
          <w:trHeight w:val="881"/>
        </w:trPr>
        <w:tc>
          <w:tcPr>
            <w:tcW w:w="1985" w:type="dxa"/>
            <w:vMerge/>
          </w:tcPr>
          <w:p w:rsidR="00B93928" w:rsidRPr="00247472" w:rsidRDefault="00B93928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Проводится оценка учебно-методического и библиотечно-информационного обеспечения реализуемых образовательных программ.</w:t>
            </w:r>
          </w:p>
        </w:tc>
        <w:tc>
          <w:tcPr>
            <w:tcW w:w="2320" w:type="dxa"/>
          </w:tcPr>
          <w:p w:rsidR="00B93928" w:rsidRPr="00247472" w:rsidRDefault="00920DB5" w:rsidP="00BA7F9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920DB5">
              <w:rPr>
                <w:rFonts w:ascii="Times New Roman" w:hAnsi="Times New Roman" w:cs="Times New Roman"/>
                <w:szCs w:val="28"/>
              </w:rPr>
              <w:t>иректор научной библиотеки</w:t>
            </w:r>
          </w:p>
        </w:tc>
      </w:tr>
      <w:tr w:rsidR="00B93928" w:rsidRPr="00247472" w:rsidTr="0067786A">
        <w:trPr>
          <w:trHeight w:val="1230"/>
        </w:trPr>
        <w:tc>
          <w:tcPr>
            <w:tcW w:w="1985" w:type="dxa"/>
            <w:vMerge/>
          </w:tcPr>
          <w:p w:rsidR="00B93928" w:rsidRPr="00247472" w:rsidRDefault="00B93928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 xml:space="preserve">Проводится анализ внутренней системы оценки качества образования и кадрового обеспечения по направлениям подготовки обучающихся. </w:t>
            </w:r>
          </w:p>
        </w:tc>
        <w:tc>
          <w:tcPr>
            <w:tcW w:w="2320" w:type="dxa"/>
          </w:tcPr>
          <w:p w:rsidR="00B93928" w:rsidRPr="00247472" w:rsidRDefault="00B93928" w:rsidP="00BA7F9D">
            <w:pPr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Управление внутренней независимой оценки качества</w:t>
            </w:r>
            <w:r w:rsidR="005E0E5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E0E5E" w:rsidRPr="005E0E5E">
              <w:rPr>
                <w:rFonts w:ascii="Times New Roman" w:hAnsi="Times New Roman" w:cs="Times New Roman"/>
                <w:szCs w:val="28"/>
              </w:rPr>
              <w:t>образования</w:t>
            </w:r>
          </w:p>
        </w:tc>
      </w:tr>
      <w:tr w:rsidR="00B93928" w:rsidRPr="00247472" w:rsidTr="0067786A">
        <w:tc>
          <w:tcPr>
            <w:tcW w:w="1985" w:type="dxa"/>
            <w:vMerge/>
          </w:tcPr>
          <w:p w:rsidR="00B93928" w:rsidRPr="00247472" w:rsidRDefault="00B93928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Приводятся сведения об организации повышения квалификации профессорско-преподавательского состава, анализ возрастного состава преподавателей.</w:t>
            </w:r>
          </w:p>
        </w:tc>
        <w:tc>
          <w:tcPr>
            <w:tcW w:w="2320" w:type="dxa"/>
          </w:tcPr>
          <w:p w:rsidR="00B93928" w:rsidRPr="00247472" w:rsidRDefault="00920DB5" w:rsidP="00920DB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Директор департамента управления делами и </w:t>
            </w:r>
            <w:r w:rsidRPr="00920DB5">
              <w:rPr>
                <w:rFonts w:ascii="Times New Roman" w:hAnsi="Times New Roman" w:cs="Times New Roman"/>
                <w:szCs w:val="28"/>
              </w:rPr>
              <w:t>кадров</w:t>
            </w:r>
            <w:r>
              <w:rPr>
                <w:rFonts w:ascii="Times New Roman" w:hAnsi="Times New Roman" w:cs="Times New Roman"/>
                <w:szCs w:val="28"/>
              </w:rPr>
              <w:t>, у</w:t>
            </w:r>
            <w:r w:rsidRPr="00920DB5">
              <w:rPr>
                <w:rFonts w:ascii="Times New Roman" w:hAnsi="Times New Roman" w:cs="Times New Roman"/>
                <w:szCs w:val="28"/>
              </w:rPr>
              <w:t>правление внутренней независимой оценки качества</w:t>
            </w:r>
            <w:r w:rsidR="005E0E5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E0E5E" w:rsidRPr="005E0E5E">
              <w:rPr>
                <w:rFonts w:ascii="Times New Roman" w:hAnsi="Times New Roman" w:cs="Times New Roman"/>
                <w:szCs w:val="28"/>
              </w:rPr>
              <w:t>образования</w:t>
            </w:r>
          </w:p>
        </w:tc>
      </w:tr>
      <w:tr w:rsidR="00B93928" w:rsidRPr="00247472" w:rsidTr="0067786A">
        <w:tc>
          <w:tcPr>
            <w:tcW w:w="1985" w:type="dxa"/>
          </w:tcPr>
          <w:p w:rsidR="00B93928" w:rsidRPr="00247472" w:rsidRDefault="00B93928" w:rsidP="008416C8">
            <w:pPr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Научно-исследовательская деятельность</w:t>
            </w:r>
          </w:p>
        </w:tc>
        <w:tc>
          <w:tcPr>
            <w:tcW w:w="4903" w:type="dxa"/>
          </w:tcPr>
          <w:p w:rsidR="00B93928" w:rsidRPr="00247472" w:rsidRDefault="00B93928" w:rsidP="008416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Приводятся сведения об основных научных школах вуза и планах развития основных научных направлений, объемах проведенных научных исследований. Описывается опыт использования результатов научных исследований в образовательной деятельности, внедрения собственных разработок в производственную практику. Проводится анализ эффективности научной деятельности (издание научной и учебной литературы, подготовка научно-</w:t>
            </w:r>
            <w:r w:rsidRPr="00247472">
              <w:rPr>
                <w:rFonts w:ascii="Times New Roman" w:hAnsi="Times New Roman" w:cs="Times New Roman"/>
                <w:szCs w:val="28"/>
              </w:rPr>
              <w:lastRenderedPageBreak/>
              <w:t>педагогических работников, научно-педагогических кадров в аспирантуре (адъюнктуре), докторантуре и т.д.), активность в патентно-лицензированной деятельности.</w:t>
            </w:r>
          </w:p>
        </w:tc>
        <w:tc>
          <w:tcPr>
            <w:tcW w:w="2320" w:type="dxa"/>
          </w:tcPr>
          <w:p w:rsidR="00B93928" w:rsidRPr="00247472" w:rsidRDefault="008416C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16C8">
              <w:rPr>
                <w:rFonts w:ascii="Times New Roman" w:hAnsi="Times New Roman" w:cs="Times New Roman"/>
                <w:szCs w:val="28"/>
              </w:rPr>
              <w:lastRenderedPageBreak/>
              <w:t>Проректор по научной работе и инновационному развитию</w:t>
            </w:r>
          </w:p>
        </w:tc>
      </w:tr>
      <w:tr w:rsidR="00B93928" w:rsidRPr="00247472" w:rsidTr="0067786A">
        <w:tc>
          <w:tcPr>
            <w:tcW w:w="1985" w:type="dxa"/>
          </w:tcPr>
          <w:p w:rsidR="00B93928" w:rsidRPr="00247472" w:rsidRDefault="00B93928" w:rsidP="008416C8">
            <w:pPr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lastRenderedPageBreak/>
              <w:t>Международная деятельность</w:t>
            </w:r>
          </w:p>
        </w:tc>
        <w:tc>
          <w:tcPr>
            <w:tcW w:w="4903" w:type="dxa"/>
          </w:tcPr>
          <w:p w:rsidR="00B93928" w:rsidRPr="00247472" w:rsidRDefault="00B93928" w:rsidP="008416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Приводится результативность форм международного сотрудничества: участие в международных образовательных и научных программах; обучение иностранных студентов; мобильность научно-педагогических работников и студентов в рамках международных межвузовских обменов (обучение студентов за рубежом, повышение квалификации научно-педагогических работников за рубежом, учебно-научная работа педагогических работников за рубежом).</w:t>
            </w:r>
            <w:r w:rsidR="008416C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320" w:type="dxa"/>
          </w:tcPr>
          <w:p w:rsidR="00B93928" w:rsidRPr="00247472" w:rsidRDefault="008416C8" w:rsidP="00BA7F9D">
            <w:pPr>
              <w:rPr>
                <w:rFonts w:ascii="Times New Roman" w:hAnsi="Times New Roman" w:cs="Times New Roman"/>
                <w:szCs w:val="28"/>
              </w:rPr>
            </w:pPr>
            <w:r w:rsidRPr="008416C8">
              <w:rPr>
                <w:rFonts w:ascii="Times New Roman" w:hAnsi="Times New Roman" w:cs="Times New Roman"/>
                <w:szCs w:val="28"/>
              </w:rPr>
              <w:t>Проректор по взаимодействию с государственными и корпоративными структурами</w:t>
            </w:r>
          </w:p>
        </w:tc>
      </w:tr>
      <w:tr w:rsidR="00B93928" w:rsidRPr="00247472" w:rsidTr="0067786A">
        <w:tc>
          <w:tcPr>
            <w:tcW w:w="1985" w:type="dxa"/>
          </w:tcPr>
          <w:p w:rsidR="00B93928" w:rsidRPr="00247472" w:rsidRDefault="00B93928" w:rsidP="008416C8">
            <w:pPr>
              <w:ind w:right="34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Внеучебная работа</w:t>
            </w:r>
          </w:p>
        </w:tc>
        <w:tc>
          <w:tcPr>
            <w:tcW w:w="4903" w:type="dxa"/>
          </w:tcPr>
          <w:p w:rsidR="00B93928" w:rsidRPr="00247472" w:rsidRDefault="00B93928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Приводятся сведения об организации воспитательной работы в вузе и участии студентов и педагогических работников в общественно-значимых мероприятиях.</w:t>
            </w:r>
          </w:p>
        </w:tc>
        <w:tc>
          <w:tcPr>
            <w:tcW w:w="2320" w:type="dxa"/>
          </w:tcPr>
          <w:p w:rsidR="00B93928" w:rsidRPr="00247472" w:rsidRDefault="00B93928" w:rsidP="00BA7F9D">
            <w:pPr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Проректор по молодежной политике</w:t>
            </w:r>
          </w:p>
        </w:tc>
      </w:tr>
      <w:tr w:rsidR="00B93928" w:rsidRPr="00247472" w:rsidTr="0067786A">
        <w:tc>
          <w:tcPr>
            <w:tcW w:w="1985" w:type="dxa"/>
          </w:tcPr>
          <w:p w:rsidR="00B93928" w:rsidRPr="00247472" w:rsidRDefault="00B93928" w:rsidP="008416C8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Материально-технические обеспечение</w:t>
            </w:r>
          </w:p>
        </w:tc>
        <w:tc>
          <w:tcPr>
            <w:tcW w:w="4903" w:type="dxa"/>
          </w:tcPr>
          <w:p w:rsidR="00B93928" w:rsidRPr="00247472" w:rsidRDefault="00B93928" w:rsidP="008416C8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Анализируется состояние материально-технической базы образовательной организации в целом и по направлениям подготовки, состояние и развитие учебно-лабораторной базы, уровень ее оснащения. Характеризуются социально-бытовые условия в вузе: наличие пунктов питания и медицинского обслуживания, общежитий и спортивно-оздоровительных комплексов.</w:t>
            </w:r>
          </w:p>
        </w:tc>
        <w:tc>
          <w:tcPr>
            <w:tcW w:w="2320" w:type="dxa"/>
          </w:tcPr>
          <w:p w:rsidR="00B93928" w:rsidRPr="00247472" w:rsidRDefault="00B93928" w:rsidP="00BA7F9D">
            <w:pPr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Проректор по безопасности и управлению хозяйственным комплексом</w:t>
            </w:r>
            <w:r w:rsidR="008416C8">
              <w:rPr>
                <w:rFonts w:ascii="Times New Roman" w:hAnsi="Times New Roman" w:cs="Times New Roman"/>
                <w:szCs w:val="28"/>
              </w:rPr>
              <w:t>, н</w:t>
            </w:r>
            <w:r w:rsidRPr="00247472">
              <w:rPr>
                <w:rFonts w:ascii="Times New Roman" w:hAnsi="Times New Roman" w:cs="Times New Roman"/>
                <w:szCs w:val="28"/>
              </w:rPr>
              <w:t>ачальник управления имущественным комплексом</w:t>
            </w:r>
          </w:p>
        </w:tc>
      </w:tr>
      <w:tr w:rsidR="00B93928" w:rsidRPr="00247472" w:rsidTr="0067786A">
        <w:tc>
          <w:tcPr>
            <w:tcW w:w="9208" w:type="dxa"/>
            <w:gridSpan w:val="3"/>
          </w:tcPr>
          <w:p w:rsidR="00B93928" w:rsidRPr="00247472" w:rsidRDefault="008416C8" w:rsidP="0067786A">
            <w:pPr>
              <w:ind w:right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247472">
              <w:rPr>
                <w:rFonts w:ascii="Times New Roman" w:hAnsi="Times New Roman" w:cs="Times New Roman"/>
                <w:szCs w:val="28"/>
              </w:rPr>
              <w:t>оказатели деятельности образовательной организации</w:t>
            </w:r>
          </w:p>
        </w:tc>
      </w:tr>
      <w:tr w:rsidR="00BA7F9D" w:rsidRPr="00247472" w:rsidTr="00944A79">
        <w:tc>
          <w:tcPr>
            <w:tcW w:w="1985" w:type="dxa"/>
          </w:tcPr>
          <w:p w:rsidR="00BA7F9D" w:rsidRPr="00247472" w:rsidRDefault="00BA7F9D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Образовательная детальность</w:t>
            </w:r>
          </w:p>
        </w:tc>
        <w:tc>
          <w:tcPr>
            <w:tcW w:w="7223" w:type="dxa"/>
            <w:gridSpan w:val="2"/>
          </w:tcPr>
          <w:p w:rsidR="00BA7F9D" w:rsidRPr="00247472" w:rsidRDefault="00BA7F9D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Проректор по образовательной деятельности</w:t>
            </w:r>
          </w:p>
        </w:tc>
      </w:tr>
      <w:tr w:rsidR="00BA7F9D" w:rsidRPr="00247472" w:rsidTr="009F4DF8">
        <w:tc>
          <w:tcPr>
            <w:tcW w:w="1985" w:type="dxa"/>
          </w:tcPr>
          <w:p w:rsidR="00BA7F9D" w:rsidRPr="00247472" w:rsidRDefault="00BA7F9D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</w:t>
            </w:r>
            <w:r w:rsidRPr="00247472">
              <w:rPr>
                <w:rFonts w:ascii="Times New Roman" w:hAnsi="Times New Roman" w:cs="Times New Roman"/>
                <w:szCs w:val="28"/>
              </w:rPr>
              <w:t>аучно-исследовательская деятельность</w:t>
            </w:r>
          </w:p>
        </w:tc>
        <w:tc>
          <w:tcPr>
            <w:tcW w:w="7223" w:type="dxa"/>
            <w:gridSpan w:val="2"/>
          </w:tcPr>
          <w:p w:rsidR="00BA7F9D" w:rsidRPr="00247472" w:rsidRDefault="00BA7F9D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>Проректор по научной работе и инновационному развитию</w:t>
            </w:r>
          </w:p>
        </w:tc>
      </w:tr>
      <w:tr w:rsidR="00BA7F9D" w:rsidRPr="00247472" w:rsidTr="007D5A9A">
        <w:tc>
          <w:tcPr>
            <w:tcW w:w="1985" w:type="dxa"/>
          </w:tcPr>
          <w:p w:rsidR="00BA7F9D" w:rsidRPr="00247472" w:rsidRDefault="00BA7F9D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</w:t>
            </w:r>
            <w:r w:rsidRPr="00247472">
              <w:rPr>
                <w:rFonts w:ascii="Times New Roman" w:hAnsi="Times New Roman" w:cs="Times New Roman"/>
                <w:szCs w:val="28"/>
              </w:rPr>
              <w:t>еждународная деятельность</w:t>
            </w:r>
          </w:p>
        </w:tc>
        <w:tc>
          <w:tcPr>
            <w:tcW w:w="7223" w:type="dxa"/>
            <w:gridSpan w:val="2"/>
          </w:tcPr>
          <w:p w:rsidR="00BA7F9D" w:rsidRPr="00247472" w:rsidRDefault="00BA7F9D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416C8">
              <w:rPr>
                <w:rFonts w:ascii="Times New Roman" w:hAnsi="Times New Roman" w:cs="Times New Roman"/>
                <w:szCs w:val="28"/>
              </w:rPr>
              <w:t>Проректор по взаимодействию с государственными и корпоративными структурами</w:t>
            </w:r>
          </w:p>
        </w:tc>
      </w:tr>
      <w:tr w:rsidR="00BA7F9D" w:rsidRPr="00247472" w:rsidTr="002109F5">
        <w:tc>
          <w:tcPr>
            <w:tcW w:w="1985" w:type="dxa"/>
          </w:tcPr>
          <w:p w:rsidR="00BA7F9D" w:rsidRPr="00247472" w:rsidRDefault="00BA7F9D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</w:t>
            </w:r>
            <w:r w:rsidRPr="00247472">
              <w:rPr>
                <w:rFonts w:ascii="Times New Roman" w:hAnsi="Times New Roman" w:cs="Times New Roman"/>
                <w:szCs w:val="28"/>
              </w:rPr>
              <w:t>инансово-экономическая деятельность</w:t>
            </w:r>
          </w:p>
        </w:tc>
        <w:tc>
          <w:tcPr>
            <w:tcW w:w="7223" w:type="dxa"/>
            <w:gridSpan w:val="2"/>
          </w:tcPr>
          <w:p w:rsidR="00BA7F9D" w:rsidRPr="00247472" w:rsidRDefault="00BA7F9D" w:rsidP="00A57CF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п</w:t>
            </w:r>
            <w:r w:rsidRPr="00A57CFD">
              <w:rPr>
                <w:rFonts w:ascii="Times New Roman" w:hAnsi="Times New Roman" w:cs="Times New Roman"/>
                <w:szCs w:val="28"/>
              </w:rPr>
              <w:t>ланово-финансово</w:t>
            </w:r>
            <w:r>
              <w:rPr>
                <w:rFonts w:ascii="Times New Roman" w:hAnsi="Times New Roman" w:cs="Times New Roman"/>
                <w:szCs w:val="28"/>
              </w:rPr>
              <w:t>го управления</w:t>
            </w:r>
          </w:p>
        </w:tc>
      </w:tr>
      <w:tr w:rsidR="00BA7F9D" w:rsidRPr="00247472" w:rsidTr="00796518">
        <w:tc>
          <w:tcPr>
            <w:tcW w:w="1985" w:type="dxa"/>
          </w:tcPr>
          <w:p w:rsidR="00BA7F9D" w:rsidRPr="00247472" w:rsidRDefault="00342AF5" w:rsidP="0067786A">
            <w:pPr>
              <w:ind w:right="3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</w:t>
            </w:r>
            <w:r w:rsidR="00BA7F9D" w:rsidRPr="00247472">
              <w:rPr>
                <w:rFonts w:ascii="Times New Roman" w:hAnsi="Times New Roman" w:cs="Times New Roman"/>
                <w:szCs w:val="28"/>
              </w:rPr>
              <w:t>нфраструктура</w:t>
            </w:r>
          </w:p>
        </w:tc>
        <w:tc>
          <w:tcPr>
            <w:tcW w:w="7223" w:type="dxa"/>
            <w:gridSpan w:val="2"/>
          </w:tcPr>
          <w:p w:rsidR="00BA7F9D" w:rsidRPr="00247472" w:rsidRDefault="00BA7F9D" w:rsidP="00CF47F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47472">
              <w:rPr>
                <w:rFonts w:ascii="Times New Roman" w:hAnsi="Times New Roman" w:cs="Times New Roman"/>
                <w:szCs w:val="28"/>
              </w:rPr>
              <w:t xml:space="preserve">Проректор по безопасности и управлению хозяйственным комплексом </w:t>
            </w:r>
          </w:p>
        </w:tc>
      </w:tr>
    </w:tbl>
    <w:p w:rsidR="00B93928" w:rsidRDefault="00B93928" w:rsidP="00B939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42AF5" w:rsidRPr="00DB23D9" w:rsidRDefault="00342AF5" w:rsidP="00B939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B93928" w:rsidRPr="00DB23D9" w:rsidRDefault="00B93928" w:rsidP="00B93928">
      <w:pPr>
        <w:pStyle w:val="1"/>
        <w:pageBreakBefore/>
        <w:spacing w:before="0"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90655228"/>
      <w:r w:rsidRPr="00DB23D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 2</w:t>
      </w:r>
      <w:bookmarkEnd w:id="7"/>
    </w:p>
    <w:p w:rsidR="00B93928" w:rsidRPr="00DB23D9" w:rsidRDefault="00953192" w:rsidP="00B9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Показатели</w:t>
      </w:r>
    </w:p>
    <w:p w:rsidR="00B93928" w:rsidRPr="00DB23D9" w:rsidRDefault="00B93928" w:rsidP="00B9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3D9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 высшего образования, подлежащей самообследованию</w:t>
      </w:r>
    </w:p>
    <w:p w:rsidR="00B93928" w:rsidRPr="00DB23D9" w:rsidRDefault="00B93928" w:rsidP="00B93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7087"/>
        <w:gridCol w:w="1414"/>
      </w:tblGrid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В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3928" w:rsidRPr="0042103E" w:rsidTr="00CF47FC">
        <w:trPr>
          <w:trHeight w:val="896"/>
        </w:trPr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бакалавриата, программам специалитета, программам магистратуры, в том числе: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ассистентуры-стажировки, в том числе: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Средний балл студентов (курсантов),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баллы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обучение по очной форме по программам бакалавриата и </w:t>
            </w:r>
            <w:r w:rsidRPr="0042103E">
              <w:rPr>
                <w:rFonts w:ascii="Times New Roman" w:hAnsi="Times New Roman" w:cs="Times New Roman"/>
              </w:rPr>
              <w:lastRenderedPageBreak/>
              <w:t>специалитета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баллы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баллы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бакалавриата и специалитета без вступительных испытаний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 студентов (курсантов) - победителей и призеров олимпиад школьников, принятых на очную форму обучения на первый курс по программам бакалавриата и специалитета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принятых на условиях целевого приема на первый курс на очную форму обучения по программам бакалавриата и специалитета в общей численности студентов (курсантов), принятых на первый курс по программам бакалавриата и специалитета на очную форму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бакалавриата, программам специалитета, программам магистратуры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обучение по программам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Общая численность студентов образовательной организации, обучающихся в филиале образовательной организации (далее - филиал)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Научно-исследовательская деятельность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лицензионных соглашений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Международная деятельность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студентов (курсантов) из стран СНГ, обучающихся по образовательным программам бакалавриата, программам специалитета, программам магистратуры, в общей численности студентов (курсантов), в том числе: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студентов (курсантов) (кроме стран СНГ),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студентов (курсантов) из стран СНГ, завершивших освоение образовательных программ бакалавриата, программ специалитета, программ магистратуры, в общем выпуске студентов (курсантов)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 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 образовательной организации, обучающихся по очной форме обучения по образовательным программам бакалавриата, программам специалитета,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 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 студентов (курсантов) иностранных образовательных организаций, прошедших обучение в образовательной организации по очной форме обучения по образовательным программам бакалавриата, программам специалитета, программам магистратуры не менее семестра (триместра)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Финансово-экономическая деятельность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 xml:space="preserve"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</w:t>
            </w:r>
            <w:r w:rsidRPr="0042103E">
              <w:rPr>
                <w:rFonts w:ascii="Times New Roman" w:hAnsi="Times New Roman" w:cs="Times New Roman"/>
              </w:rPr>
              <w:lastRenderedPageBreak/>
              <w:t>экономике региона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кв. м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кв. м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кв. м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кв. м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компьютеров в расчете на одного студента (курсанта)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единиц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%</w:t>
            </w:r>
          </w:p>
        </w:tc>
      </w:tr>
      <w:tr w:rsidR="00B93928" w:rsidRPr="0042103E" w:rsidTr="00CF47FC">
        <w:tc>
          <w:tcPr>
            <w:tcW w:w="846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087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4" w:type="dxa"/>
          </w:tcPr>
          <w:p w:rsidR="00B93928" w:rsidRPr="0042103E" w:rsidRDefault="00B93928" w:rsidP="00CF47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2103E">
              <w:rPr>
                <w:rFonts w:ascii="Times New Roman" w:hAnsi="Times New Roman" w:cs="Times New Roman"/>
              </w:rPr>
              <w:t>человек/%</w:t>
            </w:r>
          </w:p>
        </w:tc>
      </w:tr>
    </w:tbl>
    <w:p w:rsidR="00B93928" w:rsidRPr="00DB23D9" w:rsidRDefault="00B93928" w:rsidP="00B93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928" w:rsidRPr="00DB23D9" w:rsidRDefault="00B93928" w:rsidP="00B93928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F47FC" w:rsidRPr="000658B7" w:rsidRDefault="00CF47FC" w:rsidP="008F7C9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F47FC">
        <w:rPr>
          <w:rFonts w:ascii="Times New Roman" w:eastAsia="Calibri" w:hAnsi="Times New Roman" w:cs="Times New Roman"/>
          <w:kern w:val="0"/>
          <w:sz w:val="28"/>
          <w:szCs w:val="28"/>
        </w:rPr>
        <w:t> </w:t>
      </w:r>
    </w:p>
    <w:sectPr w:rsidR="00CF47FC" w:rsidRPr="000658B7" w:rsidSect="000D43D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7E" w:rsidRDefault="0061267E" w:rsidP="000D43D5">
      <w:pPr>
        <w:spacing w:after="0" w:line="240" w:lineRule="auto"/>
      </w:pPr>
      <w:r>
        <w:separator/>
      </w:r>
    </w:p>
  </w:endnote>
  <w:endnote w:type="continuationSeparator" w:id="0">
    <w:p w:rsidR="0061267E" w:rsidRDefault="0061267E" w:rsidP="000D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865971095"/>
      <w:docPartObj>
        <w:docPartGallery w:val="Page Numbers (Bottom of Page)"/>
        <w:docPartUnique/>
      </w:docPartObj>
    </w:sdtPr>
    <w:sdtContent>
      <w:p w:rsidR="00CF47FC" w:rsidRPr="001E3E01" w:rsidRDefault="00CF725A">
        <w:pPr>
          <w:pStyle w:val="af0"/>
          <w:jc w:val="right"/>
          <w:rPr>
            <w:rFonts w:ascii="Times New Roman" w:hAnsi="Times New Roman" w:cs="Times New Roman"/>
          </w:rPr>
        </w:pPr>
      </w:p>
    </w:sdtContent>
  </w:sdt>
  <w:p w:rsidR="00CF47FC" w:rsidRDefault="00CF47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7E" w:rsidRDefault="0061267E" w:rsidP="000D43D5">
      <w:pPr>
        <w:spacing w:after="0" w:line="240" w:lineRule="auto"/>
      </w:pPr>
      <w:r>
        <w:separator/>
      </w:r>
    </w:p>
  </w:footnote>
  <w:footnote w:type="continuationSeparator" w:id="0">
    <w:p w:rsidR="0061267E" w:rsidRDefault="0061267E" w:rsidP="000D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6211"/>
    <w:multiLevelType w:val="hybridMultilevel"/>
    <w:tmpl w:val="FEEA0A4A"/>
    <w:lvl w:ilvl="0" w:tplc="ED22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5637"/>
    <w:multiLevelType w:val="hybridMultilevel"/>
    <w:tmpl w:val="A97C8CF6"/>
    <w:lvl w:ilvl="0" w:tplc="ED22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D53B7"/>
    <w:multiLevelType w:val="multilevel"/>
    <w:tmpl w:val="85F6D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9303443"/>
    <w:multiLevelType w:val="multilevel"/>
    <w:tmpl w:val="D1F07F4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26C5C37"/>
    <w:multiLevelType w:val="multilevel"/>
    <w:tmpl w:val="DEBC5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47B4143"/>
    <w:multiLevelType w:val="hybridMultilevel"/>
    <w:tmpl w:val="DE6207D4"/>
    <w:lvl w:ilvl="0" w:tplc="ED22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27CEC"/>
    <w:multiLevelType w:val="hybridMultilevel"/>
    <w:tmpl w:val="9888FF32"/>
    <w:lvl w:ilvl="0" w:tplc="ED22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33347"/>
    <w:multiLevelType w:val="multilevel"/>
    <w:tmpl w:val="DEBC5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08A475A"/>
    <w:multiLevelType w:val="hybridMultilevel"/>
    <w:tmpl w:val="F500CB54"/>
    <w:lvl w:ilvl="0" w:tplc="ED22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6FA"/>
    <w:rsid w:val="00001985"/>
    <w:rsid w:val="000231E7"/>
    <w:rsid w:val="00023558"/>
    <w:rsid w:val="00026C58"/>
    <w:rsid w:val="000322F6"/>
    <w:rsid w:val="00034DA9"/>
    <w:rsid w:val="000658B7"/>
    <w:rsid w:val="0009200C"/>
    <w:rsid w:val="000932D5"/>
    <w:rsid w:val="000A26FB"/>
    <w:rsid w:val="000A6EF1"/>
    <w:rsid w:val="000B3BC6"/>
    <w:rsid w:val="000D0599"/>
    <w:rsid w:val="000D43D5"/>
    <w:rsid w:val="0010376D"/>
    <w:rsid w:val="001303A3"/>
    <w:rsid w:val="00142812"/>
    <w:rsid w:val="00191B91"/>
    <w:rsid w:val="00195F05"/>
    <w:rsid w:val="001B148C"/>
    <w:rsid w:val="001D3F66"/>
    <w:rsid w:val="001E3E01"/>
    <w:rsid w:val="001E7B2C"/>
    <w:rsid w:val="00206366"/>
    <w:rsid w:val="002076B0"/>
    <w:rsid w:val="00213640"/>
    <w:rsid w:val="002306C2"/>
    <w:rsid w:val="00247472"/>
    <w:rsid w:val="0025363D"/>
    <w:rsid w:val="00254377"/>
    <w:rsid w:val="002748FE"/>
    <w:rsid w:val="002D4A68"/>
    <w:rsid w:val="002D50E0"/>
    <w:rsid w:val="002E628A"/>
    <w:rsid w:val="003027E3"/>
    <w:rsid w:val="00332A52"/>
    <w:rsid w:val="00341DAA"/>
    <w:rsid w:val="00342AF5"/>
    <w:rsid w:val="003471AB"/>
    <w:rsid w:val="00385156"/>
    <w:rsid w:val="003A3DF6"/>
    <w:rsid w:val="003D5272"/>
    <w:rsid w:val="004110EF"/>
    <w:rsid w:val="0042103E"/>
    <w:rsid w:val="004218EA"/>
    <w:rsid w:val="00483644"/>
    <w:rsid w:val="004C37FE"/>
    <w:rsid w:val="004E3397"/>
    <w:rsid w:val="004E5949"/>
    <w:rsid w:val="0055444C"/>
    <w:rsid w:val="005826FA"/>
    <w:rsid w:val="005A26CB"/>
    <w:rsid w:val="005B0171"/>
    <w:rsid w:val="005C1437"/>
    <w:rsid w:val="005E0E5E"/>
    <w:rsid w:val="0061267E"/>
    <w:rsid w:val="00634FE5"/>
    <w:rsid w:val="00637EF3"/>
    <w:rsid w:val="0067786A"/>
    <w:rsid w:val="0068219D"/>
    <w:rsid w:val="0069554A"/>
    <w:rsid w:val="00697576"/>
    <w:rsid w:val="006B6478"/>
    <w:rsid w:val="006D3BBB"/>
    <w:rsid w:val="006D550B"/>
    <w:rsid w:val="00707590"/>
    <w:rsid w:val="00711B6A"/>
    <w:rsid w:val="007378A3"/>
    <w:rsid w:val="007537FA"/>
    <w:rsid w:val="00765EF4"/>
    <w:rsid w:val="00766834"/>
    <w:rsid w:val="00795A7E"/>
    <w:rsid w:val="007E5D9E"/>
    <w:rsid w:val="007F501A"/>
    <w:rsid w:val="008136AD"/>
    <w:rsid w:val="008416C8"/>
    <w:rsid w:val="008B704E"/>
    <w:rsid w:val="008F7C93"/>
    <w:rsid w:val="00906A35"/>
    <w:rsid w:val="00913D2D"/>
    <w:rsid w:val="00920DB5"/>
    <w:rsid w:val="00945ECB"/>
    <w:rsid w:val="00951C15"/>
    <w:rsid w:val="00953192"/>
    <w:rsid w:val="00992A28"/>
    <w:rsid w:val="009A01A8"/>
    <w:rsid w:val="009A74C5"/>
    <w:rsid w:val="009C63BF"/>
    <w:rsid w:val="009D6CC9"/>
    <w:rsid w:val="009E481B"/>
    <w:rsid w:val="00A437C3"/>
    <w:rsid w:val="00A467A1"/>
    <w:rsid w:val="00A57CFD"/>
    <w:rsid w:val="00A601AC"/>
    <w:rsid w:val="00A61997"/>
    <w:rsid w:val="00A77A99"/>
    <w:rsid w:val="00AC1468"/>
    <w:rsid w:val="00AF7225"/>
    <w:rsid w:val="00B665D1"/>
    <w:rsid w:val="00B93928"/>
    <w:rsid w:val="00BA7F9D"/>
    <w:rsid w:val="00BC24E9"/>
    <w:rsid w:val="00BC2F3B"/>
    <w:rsid w:val="00C11324"/>
    <w:rsid w:val="00C34C1E"/>
    <w:rsid w:val="00C675CF"/>
    <w:rsid w:val="00CD6EA4"/>
    <w:rsid w:val="00CE587A"/>
    <w:rsid w:val="00CF47FC"/>
    <w:rsid w:val="00CF725A"/>
    <w:rsid w:val="00CF7476"/>
    <w:rsid w:val="00D00715"/>
    <w:rsid w:val="00D22A12"/>
    <w:rsid w:val="00D9158B"/>
    <w:rsid w:val="00DB23D9"/>
    <w:rsid w:val="00DC72A0"/>
    <w:rsid w:val="00DD1C4F"/>
    <w:rsid w:val="00DE56EF"/>
    <w:rsid w:val="00E006D0"/>
    <w:rsid w:val="00E160DE"/>
    <w:rsid w:val="00E57B69"/>
    <w:rsid w:val="00E63624"/>
    <w:rsid w:val="00E97D3F"/>
    <w:rsid w:val="00EA541F"/>
    <w:rsid w:val="00EB706D"/>
    <w:rsid w:val="00EC5534"/>
    <w:rsid w:val="00EE7582"/>
    <w:rsid w:val="00F11CE4"/>
    <w:rsid w:val="00F134CA"/>
    <w:rsid w:val="00F53D6B"/>
    <w:rsid w:val="00F55C60"/>
    <w:rsid w:val="00F73C6F"/>
    <w:rsid w:val="00F943C4"/>
    <w:rsid w:val="00FD0676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3"/>
        <o:r id="V:Rule3" type="connector" idref="#AutoShape 4"/>
        <o:r id="V:Rule4" type="connector" idref="#AutoShape 8"/>
        <o:r id="V:Rule5" type="connector" idref="#AutoShape 6"/>
        <o:r id="V:Rule6" type="connector" idref="#AutoShape 7"/>
        <o:r id="V:Rule7" type="connector" idref="#_x0000_s1032"/>
        <o:r id="V:Rule8" type="connector" idref="#_x0000_s1031"/>
        <o:r id="V:Rule9" type="connector" idref="#_x0000_s1030"/>
        <o:r id="V:Rule10" type="connector" idref="#_x0000_s1029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F4"/>
  </w:style>
  <w:style w:type="paragraph" w:styleId="1">
    <w:name w:val="heading 1"/>
    <w:basedOn w:val="a"/>
    <w:next w:val="a"/>
    <w:link w:val="10"/>
    <w:uiPriority w:val="9"/>
    <w:qFormat/>
    <w:rsid w:val="00582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6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6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6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6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6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6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2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2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26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6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26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26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26F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37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D4A68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4A68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0D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43D5"/>
  </w:style>
  <w:style w:type="paragraph" w:styleId="af0">
    <w:name w:val="footer"/>
    <w:basedOn w:val="a"/>
    <w:link w:val="af1"/>
    <w:uiPriority w:val="99"/>
    <w:unhideWhenUsed/>
    <w:rsid w:val="000D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43D5"/>
  </w:style>
  <w:style w:type="paragraph" w:styleId="af2">
    <w:name w:val="TOC Heading"/>
    <w:basedOn w:val="1"/>
    <w:next w:val="a"/>
    <w:uiPriority w:val="39"/>
    <w:unhideWhenUsed/>
    <w:qFormat/>
    <w:rsid w:val="000D43D5"/>
    <w:pPr>
      <w:spacing w:before="240" w:after="0" w:line="259" w:lineRule="auto"/>
      <w:outlineLvl w:val="9"/>
    </w:pPr>
    <w:rPr>
      <w:kern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43D5"/>
    <w:pPr>
      <w:spacing w:after="100"/>
    </w:pPr>
  </w:style>
  <w:style w:type="paragraph" w:customStyle="1" w:styleId="ConsPlusNormal">
    <w:name w:val="ConsPlusNormal"/>
    <w:rsid w:val="002136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1E3E01"/>
    <w:pPr>
      <w:spacing w:after="100"/>
      <w:ind w:left="240"/>
    </w:pPr>
  </w:style>
  <w:style w:type="paragraph" w:styleId="af3">
    <w:name w:val="Balloon Text"/>
    <w:basedOn w:val="a"/>
    <w:link w:val="af4"/>
    <w:uiPriority w:val="99"/>
    <w:semiHidden/>
    <w:unhideWhenUsed/>
    <w:rsid w:val="00795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5A7E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D9158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58B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58B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58B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9158B"/>
    <w:rPr>
      <w:b/>
      <w:bCs/>
      <w:sz w:val="20"/>
      <w:szCs w:val="20"/>
    </w:rPr>
  </w:style>
  <w:style w:type="table" w:customStyle="1" w:styleId="12">
    <w:name w:val="Сетка таблицы1"/>
    <w:basedOn w:val="a1"/>
    <w:next w:val="ac"/>
    <w:uiPriority w:val="39"/>
    <w:rsid w:val="000658B7"/>
    <w:pPr>
      <w:spacing w:after="0" w:line="240" w:lineRule="auto"/>
    </w:pPr>
    <w:rPr>
      <w:rFonts w:ascii="Times New Roman" w:hAnsi="Times New Roman"/>
      <w:kern w:val="0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c"/>
    <w:uiPriority w:val="59"/>
    <w:rsid w:val="00CF47FC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254377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s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5E068-05D8-4974-BDDF-DF848E28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Солодова Елена Петровна</dc:creator>
  <cp:lastModifiedBy>user</cp:lastModifiedBy>
  <cp:revision>2</cp:revision>
  <cp:lastPrinted>2025-03-05T09:58:00Z</cp:lastPrinted>
  <dcterms:created xsi:type="dcterms:W3CDTF">2025-04-20T03:26:00Z</dcterms:created>
  <dcterms:modified xsi:type="dcterms:W3CDTF">2025-04-20T03:26:00Z</dcterms:modified>
</cp:coreProperties>
</file>