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7D" w:rsidRDefault="00FE3701">
      <w:pPr>
        <w:spacing w:after="0" w:line="240" w:lineRule="auto"/>
        <w:ind w:left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Доклад</w:t>
      </w:r>
    </w:p>
    <w:p w:rsidR="00F64B7D" w:rsidRDefault="00FE3701">
      <w:pPr>
        <w:spacing w:after="0" w:line="240" w:lineRule="auto"/>
        <w:ind w:left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об исполнении плана мероприятий по противодействию коррупции в ФГАОУ ВО «СГЭУ» </w:t>
      </w:r>
    </w:p>
    <w:p w:rsidR="00F64B7D" w:rsidRDefault="00FE3701">
      <w:pPr>
        <w:spacing w:after="0" w:line="240" w:lineRule="auto"/>
        <w:ind w:left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 2024 год</w:t>
      </w:r>
    </w:p>
    <w:p w:rsidR="00F64B7D" w:rsidRDefault="00F64B7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4B7D" w:rsidRDefault="00F64B7D">
      <w:pPr>
        <w:sectPr w:rsidR="00F64B7D">
          <w:pgSz w:w="11906" w:h="16838"/>
          <w:pgMar w:top="1134" w:right="850" w:bottom="734" w:left="1701" w:header="0" w:footer="0" w:gutter="0"/>
          <w:cols w:space="720"/>
          <w:formProt w:val="0"/>
          <w:docGrid w:linePitch="360" w:charSpace="12288"/>
        </w:sectPr>
      </w:pPr>
    </w:p>
    <w:p w:rsidR="00F64B7D" w:rsidRDefault="00FE3701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области противодействия коррупции в отчетном году Университет продолжил работу по совершенствованию системы мер по предупреждению и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выявлению коррупционных правонарушений.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году актуализированы локальные нормативные акты, которые определяют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политику учреждения, устанавливают систему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мероприятий, стандарты и процедуры добросовестной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амого Университета, так и его работников, расширяют перечень должностных лиц и структурных подразделений,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bidi="ru-RU"/>
        </w:rPr>
        <w:t xml:space="preserve">ответственных за профилактику коррупционных и иных правонарушений, уточнен порядок формирования и деятельности комиссии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по соблюдению требований к дол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жностному поведению и урегулированию конфликта интересов, разработаны меры по недопущению составления неофициальной отчетности и использования поддельных документов, порядок сотрудничества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с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правоохранительными органами.  Все документы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направлены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прежде вс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его на минимизацию рисков злоупотреблений и создания условий формирования и развития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культуры неприятия коррупции.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 году в рамках осуществления мероприятий внутреннего текущего контроля, а также в ходе реализации плана мероприятий по противодействию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коррупции, проводились периодические мониторинги соблюдения требований локальных нормативных актов Университета по вопросам организации учебной деятельности (своевременность оформления преподавателями документации по итогам промежуточной аттестации, соблю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дение требований к организации и проведению практической подготовки обучающихся и другие), по результатам которых проведено                              35 индивидуальных профилактических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 с преподавателями, выявлены технические причины, препятствовав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шие соблюдению ими локальных нормативных актов, дополнительно обращено внимание на необходимость неукоснительного выполнения установленных требований в соответствующие сроки. Контрольные мероприятия по отдельным проблемным направлениям деятельности включен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в план работы по осуществлению внутреннего контроля на 2025 год. 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Организовано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педагогических работников по теме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просвещения и воспитания в организациях высшего образования (для педагогических работников)»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курса повышения квалификации, организованного и проведенного Тюменским государственным университетом.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курс прошли педагоги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представители всех институтов, факультета СППО, кафедр,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Сызранского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филиала. В 2025 году запланировано прохождение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бесплатного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курса повышения квалификации для обучающихся Университета без ограничения числа участников с получением соответствующего документа о повышении квалификации.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работниками и обучающимися Университета проводятся как индивидуал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ьные, так и групповые консультации о применении знаний о противодействии коррупции и созданных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этого условиях. 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отчетном периоде были проведены специальные мероприятия по ознакомлению обучающихся первого, а также последующих курсов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политикой Университета. В мае-июне, сентябре-октябре отчетного года в организованных  мероприятиях приняли участие 2385 человек, среди которых обучающиеся ФСППО и аспирантуры, а также директора институтов, преподавательский состав.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ходе бесед участник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и еще раз были проинформированы о наличии специального раздела «Противодействие коррупции» на сайте Университета, о размещенных в этом разделе нормативно-правовых актах РФ и Самарской области, локальных нормативных актах Университета, ознакомлены с реализа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цией конкретных положений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Университета и действиями участников мероприятий в ходе процесса обучения, имели возможность задать интересующие вопросы и получить ответы, в том числе 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действиям обучающихся и ожидаемым действиям раб</w:t>
      </w:r>
      <w:r>
        <w:rPr>
          <w:rFonts w:ascii="Times New Roman" w:hAnsi="Times New Roman" w:cs="Times New Roman"/>
          <w:color w:val="000000"/>
          <w:sz w:val="28"/>
          <w:szCs w:val="28"/>
        </w:rPr>
        <w:t>отников в коррупционно-опасных ситуациях, о телефоне и электронной почте отдела противодействия коррупции Университета.</w:t>
      </w:r>
    </w:p>
    <w:p w:rsidR="00F64B7D" w:rsidRDefault="00FE3701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всех институтов, факультета и филиала Университета приняли активное участие в первом этапе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Международной студенческой оли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мпиады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Антикоррупция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64B7D" w:rsidRDefault="00FE3701">
      <w:pPr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октябре-декабре 2024 года проведен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val="en-US"/>
        </w:rPr>
        <w:t>II</w:t>
      </w:r>
      <w:r w:rsidRPr="00FE3701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межвузовский конкурс научных работ среди обучающихся, посвященный международному дню борьбы с коррупцией «Определение института противодействия коррупции в органах публичной власти» совместно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УФСИН России по Самарской области и ГУ МВД России по Самарской области.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Обучающимися ФГАОУ ВО «СГЭУ» на конкурс 2024 года представлено 26 научных работ, что больше числа работ, поданных в 2023 году, почти в три раза.</w:t>
      </w:r>
    </w:p>
    <w:p w:rsidR="00F64B7D" w:rsidRDefault="00FE3701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Университетом организуется проведение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совещаний, публичных семинаров, лекций, научно-практических конференций по вопросам профилактики коррупционных и иных правонарушений, в том числе с приглашением сотрудников правоохранительных и контрольно-надзорных органов. </w:t>
      </w:r>
    </w:p>
    <w:p w:rsidR="00F64B7D" w:rsidRDefault="00FE3701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Университете создана и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Комиссии по соблюдению требований к должностному поведению и урегулированию конфликта интересов (далее - Комиссия)</w:t>
      </w:r>
      <w:r>
        <w:rPr>
          <w:rFonts w:ascii="Times New Roman" w:hAnsi="Times New Roman" w:cs="Times New Roman"/>
          <w:color w:val="000000"/>
          <w:sz w:val="28"/>
          <w:szCs w:val="28"/>
        </w:rPr>
        <w:t>. За 2024 год  проведено 9 заседаний по фактам, изложенным в представлениях органов следствия (всего 6 представлений в отношении 4 работни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ков из числа преподавателей и 2 обучающихся).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проверок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из числа работников Университета, в отношении  которых поступили постановления о возбуждении уголовного дела, отстранены  от работы на период проведения следственных действий (отст</w:t>
      </w:r>
      <w:r>
        <w:rPr>
          <w:rFonts w:ascii="Times New Roman" w:hAnsi="Times New Roman" w:cs="Times New Roman"/>
          <w:color w:val="000000"/>
          <w:sz w:val="28"/>
          <w:szCs w:val="28"/>
        </w:rPr>
        <w:t>ранены 3 работника) или не имели трудовых отношений с Университетом (трудовой договор с 1 работником расторгнут в связи с окончанием срока его действия задолго до факта получения представления в СГЭУ).</w:t>
      </w:r>
      <w:proofErr w:type="gramEnd"/>
    </w:p>
    <w:p w:rsidR="00F64B7D" w:rsidRDefault="00FE3701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заседаний Комиссии выявлялись коррупционные рис</w:t>
      </w:r>
      <w:r>
        <w:rPr>
          <w:rFonts w:ascii="Times New Roman" w:hAnsi="Times New Roman" w:cs="Times New Roman"/>
          <w:color w:val="000000"/>
          <w:sz w:val="28"/>
          <w:szCs w:val="28"/>
        </w:rPr>
        <w:t>ки, возникающие в учебной деятельности обучающихся (передача пропусков третьим лицам, предъявление документов, не соответствующих действительности,  низкая посещаемость учебных занятий и академическая активность, наличие академической задолженности). На 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нове рекомендаций Комиссии руководством Университета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ужесточен контроль и автоматизирован ряд процессов и операций.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мониторинги соблюдения локальных нормативных актов в части исполнения требований к срокам оформления ведомостей промежуточной атте</w:t>
      </w:r>
      <w:r>
        <w:rPr>
          <w:rFonts w:ascii="Times New Roman" w:hAnsi="Times New Roman" w:cs="Times New Roman"/>
          <w:color w:val="000000"/>
          <w:sz w:val="28"/>
          <w:szCs w:val="28"/>
        </w:rPr>
        <w:t>стации. После истечения установленных сроков оформления ведомостей доступ для проведения этой операции в системе ограничивается, возобновление доступа возможно при наличии уважительной причины невозможности исполнения в установленные сроки требований, а та</w:t>
      </w:r>
      <w:r>
        <w:rPr>
          <w:rFonts w:ascii="Times New Roman" w:hAnsi="Times New Roman" w:cs="Times New Roman"/>
          <w:color w:val="000000"/>
          <w:sz w:val="28"/>
          <w:szCs w:val="28"/>
        </w:rPr>
        <w:t>кже при наличии визы проректора по образовательной деятельности.</w:t>
      </w:r>
    </w:p>
    <w:p w:rsidR="00F64B7D" w:rsidRDefault="00FE3701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вопросах противодействия коррупции налажено взаимодействие Университета с органами внутренних дел, прокуратурой Самарской области и Советского района гор. Самары, Управлением Федеральной Службы Безопасности по Самарской области, Следственным управлением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Следственного комитета Российской Федерации по Самарской области, иными органами. </w:t>
      </w:r>
    </w:p>
    <w:p w:rsidR="00F64B7D" w:rsidRDefault="00FE3701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изложенного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можно сделать следующие выводы: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Система противодействия коррупции в университете функционирует достаточно эффективно, однако остаются области, треб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ующие дополнительного внимания, что нашло свое отражение в плане проведения мероприятий внутреннего контроля в 2025 году, а также в плане мероприятий по противодействию коррупции на 2025 год.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Университет продолжает активную работу по укреплению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антикорруп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ционной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среды, сохраняя курс на обеспечение прозрачности и честности во всех сферах своей деятельности.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Необходимо продолжать работу по предупреждению рисков и улучшению процедур контроля.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Так, на 2025 год запланировано: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1) продолжить повышение квалифик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ации руководителей структурных подразделений, задействованных в осуществлении плана мероприятий по противодействию коррупции в 2025 году;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2) организовать прохождение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Университета всех направлений и форм обучения (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 ограничения числа участни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ков) бесплатного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антикоррупционного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курса повышения квалификации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Антикоррупционные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стандарты поведения» с получением соответствующего документа о повышении квалификации после завершения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3) разработать меры по снижению вероятности возникновения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коррупционных рисков, совершения коррупционных и иных правонарушений путем повышения дисциплины работников по исполнению требований, установленных локальными нормативными актами Университета;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межструктурное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взаимодействие в вопросах </w:t>
      </w:r>
      <w:r>
        <w:rPr>
          <w:rFonts w:ascii="Times New Roman" w:hAnsi="Times New Roman" w:cs="Times New Roman"/>
          <w:sz w:val="28"/>
          <w:szCs w:val="28"/>
        </w:rPr>
        <w:t>устранения причин и условий возникновения коррупционных и иных правонарушений;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участвовать в мероприятиях по повышению эффективности использования денежных средств Университета при разработке программного обеспечения и его использовании для нужд образо</w:t>
      </w:r>
      <w:r>
        <w:rPr>
          <w:rFonts w:ascii="Times New Roman" w:hAnsi="Times New Roman" w:cs="Times New Roman"/>
          <w:sz w:val="28"/>
          <w:szCs w:val="28"/>
        </w:rPr>
        <w:t>вательной деятельности и ведения бухгалтерского учета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64B7D" w:rsidRDefault="00FE370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>6) актуализировать локальные нормативные акты Университета с учетом внесенных изменений в законодательные и нормативно-правовые акты Российской Федерации, а также проблем, возникающих в деятельности 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ниверситета, своевременно проводить информирование работников Университета о внесенных изменениях и практике их применения работниками в своей деятельности.</w:t>
      </w:r>
    </w:p>
    <w:p w:rsidR="00F64B7D" w:rsidRDefault="00F64B7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F64B7D" w:rsidRDefault="00F64B7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отдела </w:t>
      </w:r>
    </w:p>
    <w:p w:rsidR="00F64B7D" w:rsidRDefault="00FE3701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противодействия коррупции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Ю.Л. Еременко</w:t>
      </w:r>
    </w:p>
    <w:sectPr w:rsidR="00F64B7D" w:rsidSect="00F64B7D">
      <w:type w:val="continuous"/>
      <w:pgSz w:w="11906" w:h="16838"/>
      <w:pgMar w:top="1134" w:right="850" w:bottom="7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64B7D"/>
    <w:rsid w:val="00F64B7D"/>
    <w:rsid w:val="00FE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A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2AA3"/>
    <w:rPr>
      <w:color w:val="800080" w:themeColor="followedHyperlink"/>
      <w:u w:val="single"/>
    </w:rPr>
  </w:style>
  <w:style w:type="character" w:styleId="a5">
    <w:name w:val="Emphasis"/>
    <w:qFormat/>
    <w:rsid w:val="00F64B7D"/>
    <w:rPr>
      <w:i/>
      <w:iCs/>
    </w:rPr>
  </w:style>
  <w:style w:type="paragraph" w:customStyle="1" w:styleId="a6">
    <w:name w:val="Заголовок"/>
    <w:basedOn w:val="a"/>
    <w:next w:val="a7"/>
    <w:qFormat/>
    <w:rsid w:val="00F64B7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F64B7D"/>
    <w:pPr>
      <w:spacing w:after="140"/>
    </w:pPr>
  </w:style>
  <w:style w:type="paragraph" w:styleId="a8">
    <w:name w:val="List"/>
    <w:basedOn w:val="a7"/>
    <w:rsid w:val="00F64B7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64B7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F64B7D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F64B7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a">
    <w:name w:val="Содержимое врезки"/>
    <w:basedOn w:val="a"/>
    <w:qFormat/>
    <w:rsid w:val="00F64B7D"/>
  </w:style>
  <w:style w:type="paragraph" w:styleId="ab">
    <w:name w:val="List Paragraph"/>
    <w:basedOn w:val="a"/>
    <w:qFormat/>
    <w:rsid w:val="00F64B7D"/>
    <w:pPr>
      <w:spacing w:after="16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MiroshnichenkoMV</dc:creator>
  <cp:lastModifiedBy>user</cp:lastModifiedBy>
  <cp:revision>2</cp:revision>
  <cp:lastPrinted>2025-03-14T11:34:00Z</cp:lastPrinted>
  <dcterms:created xsi:type="dcterms:W3CDTF">2025-03-17T05:19:00Z</dcterms:created>
  <dcterms:modified xsi:type="dcterms:W3CDTF">2025-03-17T05:19:00Z</dcterms:modified>
  <dc:language>ru-RU</dc:language>
</cp:coreProperties>
</file>